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 w:hAnsi="仿宋" w:eastAsia="仿宋" w:cs="仿宋"/>
          <w:bCs/>
          <w:sz w:val="32"/>
          <w:szCs w:val="32"/>
          <w:lang w:val="zh-CN"/>
        </w:rPr>
      </w:pPr>
      <w:r>
        <w:rPr>
          <w:rFonts w:hint="eastAsia" w:ascii="方正小标宋简体" w:hAnsi="方正小标宋简体" w:eastAsia="方正小标宋简体" w:cs="方正小标宋简体"/>
          <w:bCs/>
          <w:kern w:val="1"/>
          <w:sz w:val="44"/>
          <w:szCs w:val="44"/>
          <w:lang w:eastAsia="zh-CN"/>
        </w:rPr>
        <w:t>醋酸造气工艺节能减排技改</w:t>
      </w:r>
      <w:r>
        <w:rPr>
          <w:rFonts w:hint="eastAsia" w:ascii="方正小标宋简体" w:hAnsi="方正小标宋简体" w:eastAsia="方正小标宋简体" w:cs="方正小标宋简体"/>
          <w:bCs/>
          <w:kern w:val="1"/>
          <w:sz w:val="44"/>
          <w:szCs w:val="44"/>
        </w:rPr>
        <w:t>项目</w:t>
      </w:r>
      <w:r>
        <w:rPr>
          <w:rFonts w:hint="eastAsia" w:ascii="方正小标宋简体" w:hAnsi="方正小标宋简体" w:eastAsia="方正小标宋简体" w:cs="方正小标宋简体"/>
          <w:bCs/>
          <w:kern w:val="1"/>
          <w:sz w:val="44"/>
          <w:szCs w:val="44"/>
          <w:lang w:val="en-US" w:eastAsia="zh-CN"/>
        </w:rPr>
        <w:t>竣工</w:t>
      </w:r>
      <w:r>
        <w:rPr>
          <w:rFonts w:hint="eastAsia" w:ascii="方正小标宋简体" w:hAnsi="方正小标宋简体" w:eastAsia="方正小标宋简体" w:cs="方正小标宋简体"/>
          <w:bCs/>
          <w:kern w:val="1"/>
          <w:sz w:val="44"/>
          <w:szCs w:val="44"/>
        </w:rPr>
        <w:t>决算财务审计</w:t>
      </w:r>
      <w:r>
        <w:rPr>
          <w:rFonts w:hint="eastAsia" w:ascii="方正小标宋简体" w:hAnsi="方正小标宋简体" w:eastAsia="方正小标宋简体" w:cs="方正小标宋简体"/>
          <w:bCs/>
          <w:kern w:val="1"/>
          <w:sz w:val="44"/>
          <w:szCs w:val="44"/>
          <w:lang w:val="en-US" w:eastAsia="zh-CN"/>
        </w:rPr>
        <w:t>及投资后评价</w:t>
      </w:r>
      <w:r>
        <w:rPr>
          <w:rFonts w:hint="eastAsia" w:ascii="方正小标宋简体" w:hAnsi="方正小标宋简体" w:eastAsia="方正小标宋简体" w:cs="方正小标宋简体"/>
          <w:bCs/>
          <w:kern w:val="1"/>
          <w:sz w:val="44"/>
          <w:szCs w:val="44"/>
        </w:rPr>
        <w:t>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w:t>
      </w:r>
      <w:r>
        <w:rPr>
          <w:rFonts w:hint="eastAsia" w:ascii="仿宋" w:hAnsi="仿宋" w:eastAsia="仿宋" w:cs="仿宋"/>
          <w:bCs/>
          <w:sz w:val="30"/>
          <w:szCs w:val="30"/>
          <w:lang w:eastAsia="zh-CN"/>
        </w:rPr>
        <w:t>拟对江苏索普化工股份有限公司</w:t>
      </w:r>
      <w:r>
        <w:rPr>
          <w:rFonts w:hint="eastAsia" w:ascii="仿宋" w:hAnsi="仿宋" w:eastAsia="仿宋" w:cs="仿宋"/>
          <w:bCs/>
          <w:sz w:val="30"/>
          <w:szCs w:val="30"/>
          <w:lang w:val="en-US" w:eastAsia="zh-CN"/>
        </w:rPr>
        <w:t>的</w:t>
      </w:r>
      <w:r>
        <w:rPr>
          <w:rFonts w:hint="eastAsia" w:ascii="仿宋" w:hAnsi="仿宋" w:eastAsia="仿宋" w:cs="仿宋"/>
          <w:bCs/>
          <w:sz w:val="30"/>
          <w:szCs w:val="30"/>
          <w:lang w:eastAsia="zh-CN"/>
        </w:rPr>
        <w:t>醋酸造气工艺节能减排技改项目</w:t>
      </w:r>
      <w:r>
        <w:rPr>
          <w:rFonts w:hint="eastAsia" w:ascii="仿宋" w:hAnsi="仿宋" w:eastAsia="仿宋" w:cs="仿宋"/>
          <w:bCs/>
          <w:sz w:val="30"/>
          <w:szCs w:val="30"/>
          <w:lang w:val="en-US" w:eastAsia="zh-CN"/>
        </w:rPr>
        <w:t>进行竣工</w:t>
      </w:r>
      <w:r>
        <w:rPr>
          <w:rFonts w:hint="eastAsia" w:ascii="仿宋" w:hAnsi="仿宋" w:eastAsia="仿宋" w:cs="仿宋"/>
          <w:bCs/>
          <w:sz w:val="30"/>
          <w:szCs w:val="30"/>
          <w:lang w:eastAsia="zh-CN"/>
        </w:rPr>
        <w:t>决算财务审计</w:t>
      </w:r>
      <w:r>
        <w:rPr>
          <w:rFonts w:hint="eastAsia" w:ascii="仿宋" w:hAnsi="仿宋" w:eastAsia="仿宋" w:cs="仿宋"/>
          <w:bCs/>
          <w:sz w:val="30"/>
          <w:szCs w:val="30"/>
          <w:lang w:val="en-US" w:eastAsia="zh-CN"/>
        </w:rPr>
        <w:t>及投资后评价</w:t>
      </w:r>
      <w:r>
        <w:rPr>
          <w:rFonts w:hint="eastAsia" w:ascii="仿宋" w:hAnsi="仿宋" w:eastAsia="仿宋" w:cs="仿宋"/>
          <w:bCs/>
          <w:sz w:val="30"/>
          <w:szCs w:val="30"/>
        </w:rPr>
        <w:t>，</w:t>
      </w:r>
      <w:r>
        <w:rPr>
          <w:rFonts w:hint="eastAsia" w:ascii="仿宋" w:hAnsi="仿宋" w:eastAsia="仿宋" w:cs="仿宋"/>
          <w:bCs/>
          <w:sz w:val="30"/>
          <w:szCs w:val="30"/>
          <w:lang w:val="zh-CN"/>
        </w:rPr>
        <w:t>采用自主</w:t>
      </w:r>
      <w:r>
        <w:rPr>
          <w:rFonts w:hint="eastAsia" w:ascii="仿宋" w:hAnsi="仿宋" w:eastAsia="仿宋" w:cs="仿宋"/>
          <w:bCs/>
          <w:sz w:val="30"/>
          <w:szCs w:val="30"/>
          <w:lang w:val="en-US" w:eastAsia="zh-CN"/>
        </w:rPr>
        <w:t>公开招标</w:t>
      </w:r>
      <w:r>
        <w:rPr>
          <w:rFonts w:hint="eastAsia" w:ascii="仿宋" w:hAnsi="仿宋" w:eastAsia="仿宋" w:cs="仿宋"/>
          <w:bCs/>
          <w:sz w:val="30"/>
          <w:szCs w:val="30"/>
          <w:lang w:val="zh-CN"/>
        </w:rPr>
        <w:t>方式选定</w:t>
      </w:r>
      <w:r>
        <w:rPr>
          <w:rFonts w:hint="eastAsia" w:ascii="仿宋" w:hAnsi="仿宋" w:eastAsia="仿宋" w:cs="仿宋"/>
          <w:bCs/>
          <w:sz w:val="30"/>
          <w:szCs w:val="30"/>
          <w:lang w:val="en-US" w:eastAsia="zh-CN"/>
        </w:rPr>
        <w:t>服务</w:t>
      </w:r>
      <w:r>
        <w:rPr>
          <w:rFonts w:hint="eastAsia" w:ascii="仿宋" w:hAnsi="仿宋" w:eastAsia="仿宋" w:cs="仿宋"/>
          <w:bCs/>
          <w:sz w:val="30"/>
          <w:szCs w:val="30"/>
          <w:lang w:val="zh-CN"/>
        </w:rPr>
        <w:t>商</w:t>
      </w:r>
      <w:r>
        <w:rPr>
          <w:rFonts w:hint="eastAsia" w:ascii="仿宋" w:hAnsi="仿宋" w:eastAsia="仿宋" w:cs="仿宋"/>
          <w:bCs/>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adjustRightInd w:val="0"/>
        <w:snapToGrid w:val="0"/>
        <w:spacing w:line="360" w:lineRule="auto"/>
        <w:ind w:firstLine="600"/>
        <w:rPr>
          <w:rFonts w:hint="eastAsia" w:ascii="仿宋" w:hAnsi="仿宋" w:eastAsia="仿宋" w:cs="仿宋"/>
          <w:bCs/>
          <w:color w:val="auto"/>
          <w:sz w:val="30"/>
          <w:szCs w:val="30"/>
          <w:u w:val="single"/>
          <w:lang w:val="en-US" w:eastAsia="zh-CN"/>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w:t>
      </w:r>
      <w:r>
        <w:rPr>
          <w:rFonts w:hint="eastAsia" w:ascii="仿宋" w:hAnsi="仿宋" w:eastAsia="仿宋" w:cs="仿宋"/>
          <w:bCs/>
          <w:color w:val="auto"/>
          <w:sz w:val="30"/>
          <w:szCs w:val="30"/>
          <w:u w:val="single"/>
          <w:lang w:val="en-US" w:eastAsia="zh-CN"/>
        </w:rPr>
        <w:t>醋酸造气工艺节能减排技改项目竣工决算财务审计及投资后评价 ；</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时间</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lang w:val="en-US" w:eastAsia="zh-CN"/>
        </w:rPr>
        <w:t>审计报告需在2024年11月30日前完成；项目后评价报告以2025年6月30为基准日开展后评价工作，2个月内完成。</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firstLine="579"/>
        <w:textAlignment w:val="auto"/>
        <w:outlineLvl w:val="9"/>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w:t>
      </w:r>
      <w:r>
        <w:rPr>
          <w:rFonts w:hint="eastAsia" w:ascii="仿宋" w:hAnsi="仿宋" w:eastAsia="仿宋" w:cs="仿宋"/>
          <w:bCs/>
          <w:color w:val="auto"/>
          <w:sz w:val="30"/>
          <w:szCs w:val="30"/>
          <w:lang w:eastAsia="zh-CN"/>
        </w:rPr>
        <w:t>地点</w:t>
      </w:r>
      <w:r>
        <w:rPr>
          <w:rFonts w:hint="eastAsia" w:ascii="仿宋" w:hAnsi="仿宋" w:eastAsia="仿宋" w:cs="仿宋"/>
          <w:bCs/>
          <w:color w:val="auto"/>
          <w:sz w:val="30"/>
          <w:szCs w:val="30"/>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投标截止时间</w:t>
      </w:r>
      <w:r>
        <w:rPr>
          <w:rFonts w:hint="eastAsia" w:ascii="仿宋" w:hAnsi="仿宋" w:eastAsia="仿宋" w:cs="仿宋"/>
          <w:bCs/>
          <w:color w:val="auto"/>
          <w:sz w:val="30"/>
          <w:szCs w:val="30"/>
          <w:u w:val="none"/>
          <w:lang w:eastAsia="zh-CN"/>
        </w:rPr>
        <w:t>及开标时间</w:t>
      </w:r>
      <w:r>
        <w:rPr>
          <w:rFonts w:hint="eastAsia" w:ascii="仿宋" w:hAnsi="仿宋" w:eastAsia="仿宋" w:cs="仿宋"/>
          <w:bCs/>
          <w:color w:val="000000" w:themeColor="text1"/>
          <w:sz w:val="30"/>
          <w:szCs w:val="30"/>
          <w14:textFill>
            <w14:solidFill>
              <w14:schemeClr w14:val="tx1"/>
            </w14:solidFill>
          </w14:textFill>
        </w:rPr>
        <w:t>202</w:t>
      </w:r>
      <w:r>
        <w:rPr>
          <w:rFonts w:hint="eastAsia" w:ascii="仿宋" w:hAnsi="仿宋" w:eastAsia="仿宋" w:cs="仿宋"/>
          <w:bCs/>
          <w:color w:val="000000" w:themeColor="text1"/>
          <w:sz w:val="30"/>
          <w:szCs w:val="30"/>
          <w:lang w:val="en-US" w:eastAsia="zh-CN"/>
          <w14:textFill>
            <w14:solidFill>
              <w14:schemeClr w14:val="tx1"/>
            </w14:solidFill>
          </w14:textFill>
        </w:rPr>
        <w:t>4</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lang w:val="en-US" w:eastAsia="zh-CN"/>
          <w14:textFill>
            <w14:solidFill>
              <w14:schemeClr w14:val="tx1"/>
            </w14:solidFill>
          </w14:textFill>
        </w:rPr>
        <w:t xml:space="preserve"> 6</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val="en-US" w:eastAsia="zh-CN"/>
          <w14:textFill>
            <w14:solidFill>
              <w14:schemeClr w14:val="tx1"/>
            </w14:solidFill>
          </w14:textFill>
        </w:rPr>
        <w:t>7</w:t>
      </w:r>
      <w:r>
        <w:rPr>
          <w:rFonts w:hint="eastAsia" w:ascii="仿宋" w:hAnsi="仿宋" w:eastAsia="仿宋" w:cs="仿宋"/>
          <w:bCs/>
          <w:color w:val="000000" w:themeColor="text1"/>
          <w:sz w:val="30"/>
          <w:szCs w:val="30"/>
          <w14:textFill>
            <w14:solidFill>
              <w14:schemeClr w14:val="tx1"/>
            </w14:solidFill>
          </w14:textFill>
        </w:rPr>
        <w:t>日</w:t>
      </w:r>
      <w:r>
        <w:rPr>
          <w:rFonts w:hint="eastAsia" w:ascii="仿宋" w:hAnsi="仿宋" w:eastAsia="仿宋" w:cs="仿宋"/>
          <w:bCs/>
          <w:color w:val="000000" w:themeColor="text1"/>
          <w:sz w:val="30"/>
          <w:szCs w:val="30"/>
          <w:u w:val="single"/>
          <w:lang w:val="en-US" w:eastAsia="zh-CN"/>
          <w14:textFill>
            <w14:solidFill>
              <w14:schemeClr w14:val="tx1"/>
            </w14:solidFill>
          </w14:textFill>
        </w:rPr>
        <w:t>14:00</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时（北京时间）；</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0"/>
          <w:sz w:val="30"/>
          <w:szCs w:val="30"/>
        </w:rPr>
        <w:t>醋酸造气工艺节能减排技改项目，</w:t>
      </w:r>
      <w:r>
        <w:rPr>
          <w:rFonts w:hint="eastAsia" w:ascii="仿宋" w:hAnsi="仿宋" w:eastAsia="仿宋" w:cs="仿宋"/>
          <w:bCs/>
          <w:color w:val="auto"/>
          <w:kern w:val="0"/>
          <w:sz w:val="30"/>
          <w:szCs w:val="30"/>
          <w:lang w:val="en-US" w:eastAsia="zh-CN"/>
        </w:rPr>
        <w:t>总投资约12.75亿元，</w:t>
      </w:r>
      <w:r>
        <w:rPr>
          <w:rFonts w:hint="eastAsia" w:ascii="仿宋" w:hAnsi="仿宋" w:eastAsia="仿宋" w:cs="仿宋"/>
          <w:bCs/>
          <w:color w:val="auto"/>
          <w:kern w:val="0"/>
          <w:sz w:val="30"/>
          <w:szCs w:val="30"/>
        </w:rPr>
        <w:t>总占地面积</w:t>
      </w:r>
      <w:r>
        <w:rPr>
          <w:rFonts w:hint="default" w:ascii="仿宋" w:hAnsi="仿宋" w:eastAsia="仿宋" w:cs="仿宋"/>
          <w:bCs/>
          <w:color w:val="auto"/>
          <w:kern w:val="0"/>
          <w:sz w:val="30"/>
          <w:szCs w:val="30"/>
          <w:lang w:eastAsia="zh-CN"/>
        </w:rPr>
        <w:t>62500</w:t>
      </w:r>
      <w:r>
        <w:rPr>
          <w:rFonts w:hint="eastAsia" w:ascii="仿宋" w:hAnsi="仿宋" w:eastAsia="仿宋" w:cs="仿宋"/>
          <w:bCs/>
          <w:color w:val="auto"/>
          <w:kern w:val="0"/>
          <w:sz w:val="30"/>
          <w:szCs w:val="30"/>
        </w:rPr>
        <w:t>平方米，总建筑面积</w:t>
      </w:r>
      <w:r>
        <w:rPr>
          <w:rFonts w:hint="default" w:ascii="仿宋" w:hAnsi="仿宋" w:eastAsia="仿宋" w:cs="仿宋"/>
          <w:bCs/>
          <w:color w:val="auto"/>
          <w:kern w:val="0"/>
          <w:sz w:val="30"/>
          <w:szCs w:val="30"/>
          <w:lang w:val="en-US" w:eastAsia="zh-CN"/>
        </w:rPr>
        <w:t>27410</w:t>
      </w:r>
      <w:r>
        <w:rPr>
          <w:rFonts w:hint="eastAsia" w:ascii="仿宋" w:hAnsi="仿宋" w:eastAsia="仿宋" w:cs="仿宋"/>
          <w:bCs/>
          <w:color w:val="auto"/>
          <w:kern w:val="0"/>
          <w:sz w:val="30"/>
          <w:szCs w:val="30"/>
        </w:rPr>
        <w:t>平方米。</w:t>
      </w:r>
      <w:r>
        <w:rPr>
          <w:rFonts w:hint="default" w:ascii="仿宋" w:hAnsi="仿宋" w:eastAsia="仿宋" w:cs="仿宋"/>
          <w:bCs/>
          <w:color w:val="auto"/>
          <w:kern w:val="0"/>
          <w:sz w:val="30"/>
          <w:szCs w:val="30"/>
        </w:rPr>
        <w:t>本项目新建装置和建、构筑物包括：有机合成浆制备装置、</w:t>
      </w:r>
      <w:r>
        <w:rPr>
          <w:rFonts w:hint="default" w:ascii="仿宋" w:hAnsi="仿宋" w:eastAsia="仿宋" w:cs="仿宋"/>
          <w:bCs/>
          <w:color w:val="auto"/>
          <w:kern w:val="0"/>
          <w:sz w:val="30"/>
          <w:szCs w:val="30"/>
          <w:lang w:eastAsia="zh-CN"/>
        </w:rPr>
        <w:t>气化</w:t>
      </w:r>
      <w:r>
        <w:rPr>
          <w:rFonts w:hint="default" w:ascii="仿宋" w:hAnsi="仿宋" w:eastAsia="仿宋" w:cs="仿宋"/>
          <w:bCs/>
          <w:color w:val="auto"/>
          <w:kern w:val="0"/>
          <w:sz w:val="30"/>
          <w:szCs w:val="30"/>
        </w:rPr>
        <w:t>装置、CO</w:t>
      </w:r>
      <w:r>
        <w:rPr>
          <w:rFonts w:hint="default" w:ascii="仿宋" w:hAnsi="仿宋" w:eastAsia="仿宋" w:cs="仿宋"/>
          <w:bCs/>
          <w:color w:val="auto"/>
          <w:kern w:val="0"/>
          <w:sz w:val="30"/>
          <w:szCs w:val="30"/>
          <w:lang w:val="en-US" w:eastAsia="zh-CN"/>
        </w:rPr>
        <w:t>精制</w:t>
      </w:r>
      <w:r>
        <w:rPr>
          <w:rFonts w:hint="default" w:ascii="仿宋" w:hAnsi="仿宋" w:eastAsia="仿宋" w:cs="仿宋"/>
          <w:bCs/>
          <w:color w:val="auto"/>
          <w:kern w:val="0"/>
          <w:sz w:val="30"/>
          <w:szCs w:val="30"/>
          <w:lang w:eastAsia="zh-CN"/>
        </w:rPr>
        <w:t>联合</w:t>
      </w:r>
      <w:r>
        <w:rPr>
          <w:rFonts w:hint="default" w:ascii="仿宋" w:hAnsi="仿宋" w:eastAsia="仿宋" w:cs="仿宋"/>
          <w:bCs/>
          <w:color w:val="auto"/>
          <w:kern w:val="0"/>
          <w:sz w:val="30"/>
          <w:szCs w:val="30"/>
        </w:rPr>
        <w:t>装置、空分装置、循环水站、除盐水站</w:t>
      </w:r>
      <w:r>
        <w:rPr>
          <w:rFonts w:hint="default" w:ascii="仿宋" w:hAnsi="仿宋" w:eastAsia="仿宋" w:cs="仿宋"/>
          <w:bCs/>
          <w:color w:val="auto"/>
          <w:kern w:val="0"/>
          <w:sz w:val="30"/>
          <w:szCs w:val="30"/>
          <w:lang w:eastAsia="zh-CN"/>
        </w:rPr>
        <w:t>、</w:t>
      </w:r>
      <w:r>
        <w:rPr>
          <w:rFonts w:hint="default" w:ascii="仿宋" w:hAnsi="仿宋" w:eastAsia="仿宋" w:cs="仿宋"/>
          <w:bCs/>
          <w:color w:val="auto"/>
          <w:kern w:val="0"/>
          <w:sz w:val="30"/>
          <w:szCs w:val="30"/>
          <w:lang w:val="en-US" w:eastAsia="zh-CN"/>
        </w:rPr>
        <w:t>低变</w:t>
      </w:r>
      <w:r>
        <w:rPr>
          <w:rFonts w:hint="default" w:ascii="仿宋" w:hAnsi="仿宋" w:eastAsia="仿宋" w:cs="仿宋"/>
          <w:bCs/>
          <w:color w:val="auto"/>
          <w:kern w:val="0"/>
          <w:sz w:val="30"/>
          <w:szCs w:val="30"/>
        </w:rPr>
        <w:t>冷凝液</w:t>
      </w:r>
      <w:r>
        <w:rPr>
          <w:rFonts w:hint="default" w:ascii="仿宋" w:hAnsi="仿宋" w:eastAsia="仿宋" w:cs="仿宋"/>
          <w:bCs/>
          <w:color w:val="auto"/>
          <w:kern w:val="0"/>
          <w:sz w:val="30"/>
          <w:szCs w:val="30"/>
          <w:lang w:val="en-US" w:eastAsia="zh-CN"/>
        </w:rPr>
        <w:t>回收</w:t>
      </w:r>
      <w:r>
        <w:rPr>
          <w:rFonts w:hint="default" w:ascii="仿宋" w:hAnsi="仿宋" w:eastAsia="仿宋" w:cs="仿宋"/>
          <w:bCs/>
          <w:color w:val="auto"/>
          <w:kern w:val="0"/>
          <w:sz w:val="30"/>
          <w:szCs w:val="30"/>
        </w:rPr>
        <w:t>、35kV变电所及车间变电所等。</w:t>
      </w:r>
      <w:r>
        <w:rPr>
          <w:rFonts w:hint="eastAsia" w:ascii="仿宋" w:hAnsi="仿宋" w:eastAsia="仿宋" w:cs="仿宋"/>
          <w:bCs/>
          <w:color w:val="auto"/>
          <w:kern w:val="0"/>
          <w:sz w:val="30"/>
          <w:szCs w:val="30"/>
        </w:rPr>
        <w:t>于2021年1月7日取得土建施工许可证后正式开工建设</w:t>
      </w:r>
      <w:r>
        <w:rPr>
          <w:rFonts w:hint="eastAsia" w:ascii="仿宋" w:hAnsi="仿宋" w:eastAsia="仿宋" w:cs="仿宋"/>
          <w:bCs/>
          <w:color w:val="auto"/>
          <w:kern w:val="0"/>
          <w:sz w:val="30"/>
          <w:szCs w:val="30"/>
          <w:lang w:eastAsia="zh-CN"/>
        </w:rPr>
        <w:t>，</w:t>
      </w:r>
      <w:r>
        <w:rPr>
          <w:rFonts w:hint="eastAsia" w:ascii="仿宋" w:hAnsi="仿宋" w:eastAsia="仿宋" w:cs="仿宋"/>
          <w:bCs/>
          <w:color w:val="auto"/>
          <w:kern w:val="0"/>
          <w:sz w:val="30"/>
          <w:szCs w:val="30"/>
          <w:lang w:val="en-US" w:eastAsia="zh-CN"/>
        </w:rPr>
        <w:t>2023年年底开车投产。</w:t>
      </w:r>
      <w:r>
        <w:rPr>
          <w:rFonts w:hint="eastAsia" w:ascii="仿宋" w:hAnsi="仿宋" w:eastAsia="仿宋" w:cs="仿宋"/>
          <w:bCs/>
          <w:color w:val="auto"/>
          <w:kern w:val="1"/>
          <w:sz w:val="30"/>
          <w:szCs w:val="30"/>
        </w:rPr>
        <w:t xml:space="preserve"> </w:t>
      </w:r>
    </w:p>
    <w:p>
      <w:pPr>
        <w:keepNext w:val="0"/>
        <w:keepLines w:val="0"/>
        <w:pageBreakBefore w:val="0"/>
        <w:widowControl w:val="0"/>
        <w:numPr>
          <w:ilvl w:val="0"/>
          <w:numId w:val="1"/>
        </w:numPr>
        <w:kinsoku/>
        <w:overflowPunct/>
        <w:topLinePunct w:val="0"/>
        <w:autoSpaceDE/>
        <w:autoSpaceDN/>
        <w:bidi w:val="0"/>
        <w:adjustRightInd w:val="0"/>
        <w:snapToGrid w:val="0"/>
        <w:spacing w:line="600" w:lineRule="exact"/>
        <w:ind w:right="0" w:firstLine="600"/>
        <w:textAlignment w:val="auto"/>
        <w:outlineLvl w:val="9"/>
        <w:rPr>
          <w:rFonts w:hint="eastAsia"/>
        </w:rPr>
      </w:pPr>
      <w:r>
        <w:rPr>
          <w:rFonts w:hint="eastAsia" w:ascii="仿宋" w:hAnsi="仿宋" w:eastAsia="仿宋" w:cs="仿宋"/>
          <w:bCs/>
          <w:color w:val="auto"/>
          <w:sz w:val="30"/>
          <w:szCs w:val="30"/>
        </w:rPr>
        <w:t>审计内容要求及完成时间：</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1.审计报告需内容详实，包含以下几个部分：</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（1）项目基本情况：项目概况、项目批准情况、项目管理的组织形式、主要参建单位、工程开竣工时间、工程验收情况、资金来源占用情况等；</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（2）审核情况：项目资金来源审核、概算执行情况、项目基本建设支出审核情况、工程项目和物资设备招投标情况的审核、合同管理情况审核、项目财务管理情况审核等。</w:t>
      </w:r>
    </w:p>
    <w:p>
      <w:pPr>
        <w:numPr>
          <w:ilvl w:val="0"/>
          <w:numId w:val="0"/>
        </w:numPr>
        <w:spacing w:line="600" w:lineRule="exact"/>
        <w:ind w:firstLine="600" w:firstLineChars="200"/>
        <w:rPr>
          <w:rFonts w:hint="eastAsia"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3）编制资产交付清册。项目中涉及所有的设备、管线、支架、电缆等支出按相应的类别，应单列为固定资产，按单、台套价值5000元以上编制资产交付清册（按单、台套建立清册），具体参考公司设备固定资产目录。</w:t>
      </w:r>
    </w:p>
    <w:tbl>
      <w:tblPr>
        <w:tblStyle w:val="11"/>
        <w:tblW w:w="9145" w:type="dxa"/>
        <w:tblInd w:w="96" w:type="dxa"/>
        <w:tblLayout w:type="fixed"/>
        <w:tblCellMar>
          <w:top w:w="0" w:type="dxa"/>
          <w:left w:w="108" w:type="dxa"/>
          <w:bottom w:w="0" w:type="dxa"/>
          <w:right w:w="108" w:type="dxa"/>
        </w:tblCellMar>
      </w:tblPr>
      <w:tblGrid>
        <w:gridCol w:w="2110"/>
        <w:gridCol w:w="7035"/>
      </w:tblGrid>
      <w:tr>
        <w:tblPrEx>
          <w:tblCellMar>
            <w:top w:w="0" w:type="dxa"/>
            <w:left w:w="108" w:type="dxa"/>
            <w:bottom w:w="0" w:type="dxa"/>
            <w:right w:w="108" w:type="dxa"/>
          </w:tblCellMar>
        </w:tblPrEx>
        <w:trPr>
          <w:trHeight w:val="176" w:hRule="atLeast"/>
        </w:trPr>
        <w:tc>
          <w:tcPr>
            <w:tcW w:w="21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类别</w:t>
            </w:r>
          </w:p>
        </w:tc>
        <w:tc>
          <w:tcPr>
            <w:tcW w:w="70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highlight w:val="none"/>
              </w:rPr>
            </w:pPr>
            <w:r>
              <w:rPr>
                <w:rFonts w:hint="eastAsia" w:ascii="宋体" w:hAnsi="宋体" w:cs="宋体"/>
                <w:kern w:val="0"/>
                <w:sz w:val="18"/>
                <w:szCs w:val="18"/>
                <w:highlight w:val="none"/>
              </w:rPr>
              <w:t>固定资产范围</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泵类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离心泵、真空泵、柱塞泵、螺旋泵、齿轮泵、高速泵、隔膜泵、Ⅱ型泵等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风机类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离心式通（鼓）风机、罗茨风机、轴流风机、其它风机等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压缩机类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（1）往复压缩机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空压机、CO压缩机、氧压机、氮压机、氢压机、膨胀机、制冷机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（2）螺杆压缩机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制冷机、空压机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）透平压缩机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起重设备类</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（1）电动葫芦</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（2）桥式起重机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）门式起重机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4</w:t>
            </w:r>
            <w:r>
              <w:rPr>
                <w:rFonts w:hint="eastAsia" w:ascii="宋体" w:hAnsi="宋体" w:cs="宋体"/>
                <w:kern w:val="0"/>
                <w:sz w:val="18"/>
                <w:szCs w:val="18"/>
                <w:highlight w:val="none"/>
              </w:rPr>
              <w:t>）吊车</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（5）电梯</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（6）卷扬机</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维修设备类</w:t>
            </w:r>
          </w:p>
        </w:tc>
        <w:tc>
          <w:tcPr>
            <w:tcW w:w="7035" w:type="dxa"/>
            <w:tcBorders>
              <w:top w:val="nil"/>
              <w:left w:val="nil"/>
              <w:bottom w:val="single" w:color="auto" w:sz="4" w:space="0"/>
              <w:right w:val="single" w:color="auto" w:sz="4" w:space="0"/>
            </w:tcBorders>
            <w:noWrap w:val="0"/>
            <w:vAlign w:val="center"/>
          </w:tcPr>
          <w:p>
            <w:pPr>
              <w:widowControl/>
              <w:spacing w:line="320" w:lineRule="exact"/>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（1）机加工设备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切削机床、剪板机、卷板机等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）焊接设备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焊机、坡口机、烘箱、探伤机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3</w:t>
            </w:r>
            <w:r>
              <w:rPr>
                <w:rFonts w:hint="eastAsia" w:ascii="宋体" w:hAnsi="宋体" w:cs="宋体"/>
                <w:kern w:val="0"/>
                <w:sz w:val="18"/>
                <w:szCs w:val="18"/>
                <w:highlight w:val="none"/>
              </w:rPr>
              <w:t>）木加工设备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圆锯机、带锯机、木工车床、榫槽机</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（4）专用机具、设备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气动扳手、清洗机、试压泵、安全阀校验台、安全阀动态研磨机等；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动力设备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（1）燃煤锅炉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）发电机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（3）茶炉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（4）汽轮机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（5）水轮机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电气设备类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（1）变压器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（2）互感器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（3）配电柜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高低压配电柜、控制柜、操作台（柜）等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（4）低压抽屉</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5</w:t>
            </w:r>
            <w:r>
              <w:rPr>
                <w:rFonts w:hint="eastAsia" w:ascii="宋体" w:hAnsi="宋体" w:cs="宋体"/>
                <w:kern w:val="0"/>
                <w:sz w:val="18"/>
                <w:szCs w:val="18"/>
                <w:highlight w:val="none"/>
              </w:rPr>
              <w:t>）电缆</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电缆截面积16mm2以上</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（6）电机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（7）高压开关</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（8）低压开关</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（9）工业用UPS电源</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（10）变频器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仪器仪表类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（1）仪器仪表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成套热控仪表盘、成套仪表操作台、仪表成套装置、标准仪器及分析仪器，电磁流量计、法兰变送器</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（2）衡器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地上衡、皮带秤、其它衡器</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（3）PLC系统</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含接杆件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（4）DCS系统</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含接杆件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（5）质量流量计</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（6）液位计</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含雷达液位计、电浮筒液位计、超声波液位计、磁浮液位计、磁致伸缩液位计</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（7）调节阀</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电动、气动调节阀，凡特材调节阀均应纳入固定资产</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办公用品类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计算机、打印机、复印机、电视机、传真机、空调、冰箱、冰柜、扫描仪、摄像机、数码相机等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反应设备类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（1）塔</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冷却塔、精馏塔、吸收塔、火炬等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（2）反应釜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含减速机等基本附件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（3）电解槽</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（4）其它</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氧化炉、合成炉、造气炉、转化炉等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换热设备类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1</w:t>
            </w:r>
            <w:r>
              <w:rPr>
                <w:rFonts w:hint="eastAsia" w:ascii="宋体" w:hAnsi="宋体" w:cs="宋体"/>
                <w:kern w:val="0"/>
                <w:sz w:val="18"/>
                <w:szCs w:val="18"/>
                <w:highlight w:val="none"/>
              </w:rPr>
              <w:t>）钢材类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）特材类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分离设备类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（1）分离容器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（2）离心机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（3）压滤机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（4）振动筛</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加工类设备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造粒机、切片机、气流粉碎等</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储存容器类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1</w:t>
            </w:r>
            <w:r>
              <w:rPr>
                <w:rFonts w:hint="eastAsia" w:ascii="宋体" w:hAnsi="宋体" w:cs="宋体"/>
                <w:kern w:val="0"/>
                <w:sz w:val="18"/>
                <w:szCs w:val="18"/>
                <w:highlight w:val="none"/>
              </w:rPr>
              <w:t>）常压容器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kern w:val="0"/>
                <w:sz w:val="18"/>
                <w:szCs w:val="18"/>
                <w:highlight w:val="none"/>
              </w:rPr>
              <w:t>2</w:t>
            </w:r>
            <w:r>
              <w:rPr>
                <w:rFonts w:hint="eastAsia" w:ascii="宋体" w:hAnsi="宋体" w:cs="宋体"/>
                <w:kern w:val="0"/>
                <w:sz w:val="18"/>
                <w:szCs w:val="18"/>
                <w:highlight w:val="none"/>
              </w:rPr>
              <w:t>）压力容器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（3）气柜</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干燥设备类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（1）真空带滤机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（2）气化床</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（3）蒸发效体</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（4）脉冲(袋式）除尘器</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建筑物</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（1）生产用房</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（2）非生产用房</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475"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（3）其他</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道路、车棚、地沟、地坪、围墙、挡土墙、烟囱、水塔、池（井）、码头、栈桥、雕塑、钢结构平台、旗杆、管架（廊）、停车场、铁路专用线、储罐（含基础）、站台、涵洞、加油站</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后勤类</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液化气灶、油烟机、绞切机、油气灶、消毒柜、保温车、开水炉等。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关键部件</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使用年限1年以上，单件价值50000元以上（不含税）的关键部件</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输送设备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（1）带式输送机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（2）其它输送机</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螺旋输送机、斗式提升机、气流输送机</w:t>
            </w:r>
          </w:p>
        </w:tc>
      </w:tr>
      <w:tr>
        <w:tblPrEx>
          <w:tblCellMar>
            <w:top w:w="0" w:type="dxa"/>
            <w:left w:w="108" w:type="dxa"/>
            <w:bottom w:w="0" w:type="dxa"/>
            <w:right w:w="108" w:type="dxa"/>
          </w:tblCellMar>
        </w:tblPrEx>
        <w:trPr>
          <w:trHeight w:val="176"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（3）输送管道</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　</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制冷空调设备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制冷压缩机、冷藏箱柜、空调机组、恒温机、去湿机等</w:t>
            </w:r>
          </w:p>
        </w:tc>
      </w:tr>
      <w:tr>
        <w:tblPrEx>
          <w:tblCellMar>
            <w:top w:w="0" w:type="dxa"/>
            <w:left w:w="108" w:type="dxa"/>
            <w:bottom w:w="0" w:type="dxa"/>
            <w:right w:w="108" w:type="dxa"/>
          </w:tblCellMar>
        </w:tblPrEx>
        <w:trPr>
          <w:trHeight w:val="240"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减速机及传动装置</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摆线针轮减速机、行星减速机、圆柱齿轮减速机、蜗轮蜗杆减速器、液力耦合器等</w:t>
            </w:r>
          </w:p>
        </w:tc>
      </w:tr>
      <w:tr>
        <w:tblPrEx>
          <w:tblCellMar>
            <w:top w:w="0" w:type="dxa"/>
            <w:left w:w="108" w:type="dxa"/>
            <w:bottom w:w="0" w:type="dxa"/>
            <w:right w:w="108" w:type="dxa"/>
          </w:tblCellMar>
        </w:tblPrEx>
        <w:trPr>
          <w:trHeight w:val="358"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安全设备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防尘设备、烟雾传感器、氧气检测报警器、便携式二氧化碳检测报警器、便携式可燃气体检测报警器、送风式长管呼吸器等</w:t>
            </w:r>
          </w:p>
        </w:tc>
      </w:tr>
      <w:tr>
        <w:tblPrEx>
          <w:tblCellMar>
            <w:top w:w="0" w:type="dxa"/>
            <w:left w:w="108" w:type="dxa"/>
            <w:bottom w:w="0" w:type="dxa"/>
            <w:right w:w="108" w:type="dxa"/>
          </w:tblCellMar>
        </w:tblPrEx>
        <w:trPr>
          <w:trHeight w:val="179" w:hRule="atLeast"/>
        </w:trPr>
        <w:tc>
          <w:tcPr>
            <w:tcW w:w="2110"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其它设备</w:t>
            </w:r>
          </w:p>
        </w:tc>
        <w:tc>
          <w:tcPr>
            <w:tcW w:w="7035" w:type="dxa"/>
            <w:tcBorders>
              <w:top w:val="nil"/>
              <w:left w:val="nil"/>
              <w:bottom w:val="single" w:color="auto" w:sz="4" w:space="0"/>
              <w:right w:val="single" w:color="auto" w:sz="4" w:space="0"/>
            </w:tcBorders>
            <w:noWrap w:val="0"/>
            <w:vAlign w:val="center"/>
          </w:tcPr>
          <w:p>
            <w:pPr>
              <w:widowControl/>
              <w:rPr>
                <w:rFonts w:hint="eastAsia" w:ascii="宋体" w:hAnsi="宋体" w:cs="宋体"/>
                <w:kern w:val="0"/>
                <w:sz w:val="18"/>
                <w:szCs w:val="18"/>
                <w:highlight w:val="none"/>
              </w:rPr>
            </w:pPr>
            <w:r>
              <w:rPr>
                <w:rFonts w:hint="eastAsia" w:ascii="宋体" w:hAnsi="宋体" w:cs="宋体"/>
                <w:kern w:val="0"/>
                <w:sz w:val="18"/>
                <w:szCs w:val="18"/>
                <w:highlight w:val="none"/>
              </w:rPr>
              <w:t>吸泥机、破碎机等</w:t>
            </w:r>
          </w:p>
        </w:tc>
      </w:tr>
    </w:tbl>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2.依据国资委下发关于后评价工作文件的相关要求，结合《索普集团投资项目后评价细则》出具项目后评价报告。</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3.完成时间：审计报告需在2024年11月30日前完成；项目后评价报告以2025年6月30为基准日开展后评价工作，2个月内完成。</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rPr>
        <w:t>三、投标人资质与要求：</w:t>
      </w:r>
    </w:p>
    <w:p>
      <w:pPr>
        <w:pStyle w:val="5"/>
        <w:keepNext w:val="0"/>
        <w:keepLines w:val="0"/>
        <w:pageBreakBefore w:val="0"/>
        <w:widowControl w:val="0"/>
        <w:kinsoku/>
        <w:overflowPunct/>
        <w:topLinePunct w:val="0"/>
        <w:autoSpaceDE/>
        <w:autoSpaceDN/>
        <w:bidi w:val="0"/>
        <w:adjustRightInd w:val="0"/>
        <w:snapToGrid w:val="0"/>
        <w:spacing w:after="0" w:line="600" w:lineRule="exact"/>
        <w:ind w:right="0" w:firstLine="600"/>
        <w:textAlignment w:val="auto"/>
        <w:outlineLvl w:val="9"/>
        <w:rPr>
          <w:rFonts w:hint="eastAsia" w:ascii="仿宋_GB2312" w:hAnsi="仿宋_GB2312" w:eastAsia="仿宋_GB2312" w:cs="仿宋_GB2312"/>
          <w:bCs/>
          <w:color w:val="auto"/>
          <w:sz w:val="30"/>
          <w:szCs w:val="30"/>
          <w:lang w:eastAsia="zh-CN"/>
        </w:rPr>
      </w:pPr>
      <w:r>
        <w:rPr>
          <w:rFonts w:hint="eastAsia" w:ascii="仿宋_GB2312" w:hAnsi="仿宋_GB2312" w:eastAsia="仿宋_GB2312" w:cs="仿宋_GB2312"/>
          <w:bCs/>
          <w:color w:val="auto"/>
          <w:sz w:val="30"/>
          <w:szCs w:val="30"/>
        </w:rPr>
        <w:t>（一）投标人必须具备中华人民共和国境内生产或经营应具备的合法资质</w:t>
      </w:r>
      <w:r>
        <w:rPr>
          <w:rFonts w:hint="eastAsia" w:ascii="仿宋_GB2312" w:hAnsi="仿宋_GB2312" w:eastAsia="仿宋_GB2312" w:cs="仿宋_GB2312"/>
          <w:bCs/>
          <w:color w:val="auto"/>
          <w:sz w:val="30"/>
          <w:szCs w:val="30"/>
          <w:lang w:eastAsia="zh-CN"/>
        </w:rPr>
        <w:t>；</w:t>
      </w:r>
    </w:p>
    <w:p>
      <w:pPr>
        <w:pStyle w:val="6"/>
        <w:ind w:firstLine="600"/>
        <w:rPr>
          <w:rFonts w:hint="eastAsia" w:ascii="仿宋" w:hAnsi="仿宋" w:eastAsia="仿宋" w:cs="仿宋"/>
          <w:bCs/>
          <w:color w:val="auto"/>
          <w:kern w:val="0"/>
          <w:sz w:val="30"/>
          <w:szCs w:val="30"/>
          <w:lang w:val="en-US" w:eastAsia="zh-CN" w:bidi="ar-SA"/>
        </w:rPr>
      </w:pPr>
      <w:r>
        <w:rPr>
          <w:rFonts w:hint="eastAsia" w:ascii="仿宋_GB2312" w:hAnsi="仿宋_GB2312" w:eastAsia="仿宋_GB2312" w:cs="仿宋_GB2312"/>
          <w:bCs/>
          <w:color w:val="auto"/>
          <w:kern w:val="0"/>
          <w:sz w:val="30"/>
          <w:szCs w:val="30"/>
          <w:lang w:val="en-US" w:eastAsia="zh-CN" w:bidi="ar-SA"/>
        </w:rPr>
        <w:t>（二）</w:t>
      </w:r>
      <w:r>
        <w:rPr>
          <w:rFonts w:hint="eastAsia" w:ascii="仿宋" w:hAnsi="仿宋" w:eastAsia="仿宋" w:cs="仿宋"/>
          <w:bCs/>
          <w:color w:val="auto"/>
          <w:kern w:val="0"/>
          <w:sz w:val="30"/>
          <w:szCs w:val="30"/>
          <w:lang w:val="en-US" w:eastAsia="zh-CN" w:bidi="ar-SA"/>
        </w:rPr>
        <w:t>投标人具有行业主管部门颁发的有效的会计师事务所执业证书，且证券相关服务业务已在中国证监会完成备案（提供证明材料复印件）；</w:t>
      </w:r>
    </w:p>
    <w:p>
      <w:pPr>
        <w:keepNext w:val="0"/>
        <w:keepLines w:val="0"/>
        <w:pageBreakBefore w:val="0"/>
        <w:widowControl w:val="0"/>
        <w:kinsoku/>
        <w:overflowPunct/>
        <w:topLinePunct w:val="0"/>
        <w:autoSpaceDE/>
        <w:autoSpaceDN/>
        <w:bidi w:val="0"/>
        <w:adjustRightInd w:val="0"/>
        <w:snapToGrid w:val="0"/>
        <w:spacing w:line="600" w:lineRule="exact"/>
        <w:ind w:right="0" w:firstLine="579"/>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不接受被列入失信被执行人、重大违法案件当事人投标；</w:t>
      </w:r>
    </w:p>
    <w:p>
      <w:pPr>
        <w:pStyle w:val="6"/>
        <w:ind w:firstLine="600"/>
        <w:rPr>
          <w:rFonts w:hint="eastAsia" w:ascii="仿宋" w:hAnsi="仿宋" w:eastAsia="仿宋" w:cs="仿宋"/>
          <w:bCs/>
          <w:color w:val="auto"/>
          <w:kern w:val="0"/>
          <w:sz w:val="30"/>
          <w:szCs w:val="30"/>
          <w:lang w:val="en-US" w:eastAsia="zh-CN" w:bidi="ar-SA"/>
        </w:rPr>
      </w:pPr>
      <w:r>
        <w:rPr>
          <w:rFonts w:hint="eastAsia" w:ascii="仿宋" w:hAnsi="仿宋" w:eastAsia="仿宋" w:cs="仿宋"/>
          <w:bCs/>
          <w:color w:val="auto"/>
          <w:kern w:val="0"/>
          <w:sz w:val="30"/>
          <w:szCs w:val="30"/>
          <w:lang w:val="en-US" w:eastAsia="zh-CN" w:bidi="ar-SA"/>
        </w:rPr>
        <w:t>（四）不接受被列入索普集团供应商负面清单中的单位投标；</w:t>
      </w:r>
    </w:p>
    <w:p>
      <w:pPr>
        <w:pStyle w:val="6"/>
        <w:ind w:firstLine="600"/>
        <w:rPr>
          <w:rFonts w:hint="eastAsia"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bidi="ar-SA"/>
        </w:rPr>
        <w:t>（五）项目负</w:t>
      </w:r>
      <w:r>
        <w:rPr>
          <w:rFonts w:hint="eastAsia" w:ascii="仿宋" w:hAnsi="仿宋" w:eastAsia="仿宋" w:cs="仿宋"/>
          <w:bCs/>
          <w:color w:val="auto"/>
          <w:kern w:val="0"/>
          <w:sz w:val="30"/>
          <w:szCs w:val="30"/>
          <w:lang w:val="en-US" w:eastAsia="zh-CN"/>
        </w:rPr>
        <w:t>责人</w:t>
      </w:r>
      <w:r>
        <w:rPr>
          <w:rFonts w:hint="eastAsia" w:ascii="仿宋" w:hAnsi="仿宋" w:eastAsia="仿宋" w:cs="仿宋"/>
          <w:bCs/>
          <w:color w:val="auto"/>
          <w:kern w:val="0"/>
          <w:sz w:val="30"/>
          <w:szCs w:val="30"/>
        </w:rPr>
        <w:t>执业注册会计师10年及以上，并有负责过化工企业基建项目竣工决算财务审计的相关业绩；</w:t>
      </w:r>
    </w:p>
    <w:p>
      <w:pPr>
        <w:pStyle w:val="6"/>
        <w:ind w:firstLine="600"/>
        <w:rPr>
          <w:rFonts w:hint="eastAsia"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（六）本项目不接受联合体投标，不接受转包分包。</w:t>
      </w:r>
    </w:p>
    <w:p>
      <w:pPr>
        <w:pStyle w:val="6"/>
        <w:ind w:firstLine="600"/>
        <w:rPr>
          <w:rFonts w:hint="default" w:ascii="仿宋" w:hAnsi="仿宋" w:eastAsia="仿宋" w:cs="仿宋"/>
          <w:bCs/>
          <w:color w:val="auto"/>
          <w:kern w:val="0"/>
          <w:sz w:val="30"/>
          <w:szCs w:val="30"/>
          <w:lang w:val="en-US" w:eastAsia="zh-CN"/>
        </w:rPr>
      </w:pPr>
      <w:r>
        <w:rPr>
          <w:rFonts w:hint="eastAsia" w:ascii="仿宋" w:hAnsi="仿宋" w:eastAsia="仿宋" w:cs="仿宋"/>
          <w:bCs/>
          <w:color w:val="auto"/>
          <w:kern w:val="0"/>
          <w:sz w:val="30"/>
          <w:szCs w:val="30"/>
          <w:lang w:val="en-US" w:eastAsia="zh-CN"/>
        </w:rPr>
        <w:t>（七）投标方食宿交通费自理，在发标方工作现场，可提供工作餐。</w:t>
      </w:r>
    </w:p>
    <w:p>
      <w:pPr>
        <w:keepNext w:val="0"/>
        <w:keepLines w:val="0"/>
        <w:pageBreakBefore w:val="0"/>
        <w:widowControl w:val="0"/>
        <w:kinsoku/>
        <w:overflowPunct/>
        <w:topLinePunct w:val="0"/>
        <w:autoSpaceDE/>
        <w:autoSpaceDN/>
        <w:bidi w:val="0"/>
        <w:adjustRightInd w:val="0"/>
        <w:snapToGrid w:val="0"/>
        <w:spacing w:line="600" w:lineRule="exact"/>
        <w:ind w:right="0" w:firstLine="480"/>
        <w:textAlignment w:val="auto"/>
        <w:outlineLvl w:val="9"/>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kern w:val="0"/>
          <w:sz w:val="30"/>
          <w:szCs w:val="30"/>
        </w:rPr>
        <w:t>报价为含6%增值税价。如国家税率调整，按</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rPr>
      </w:pPr>
      <w:r>
        <w:rPr>
          <w:rFonts w:hint="eastAsia" w:ascii="仿宋" w:hAnsi="仿宋" w:eastAsia="仿宋" w:cs="仿宋"/>
          <w:bCs/>
          <w:color w:val="auto"/>
          <w:kern w:val="0"/>
          <w:sz w:val="30"/>
          <w:szCs w:val="30"/>
        </w:rPr>
        <w:t>合同价格开具发票；</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0"/>
          <w:sz w:val="30"/>
          <w:szCs w:val="30"/>
        </w:rPr>
      </w:pPr>
      <w:r>
        <w:rPr>
          <w:rFonts w:hint="eastAsia" w:ascii="仿宋" w:hAnsi="仿宋" w:eastAsia="仿宋" w:cs="仿宋"/>
          <w:bCs/>
          <w:color w:val="auto"/>
          <w:kern w:val="0"/>
          <w:sz w:val="30"/>
          <w:szCs w:val="30"/>
        </w:rPr>
        <w:t>（二）付款方式：提交我方认可的</w:t>
      </w:r>
      <w:r>
        <w:rPr>
          <w:rFonts w:hint="eastAsia" w:ascii="仿宋" w:hAnsi="仿宋" w:eastAsia="仿宋" w:cs="仿宋"/>
          <w:bCs/>
          <w:color w:val="auto"/>
          <w:kern w:val="0"/>
          <w:sz w:val="30"/>
          <w:szCs w:val="30"/>
          <w:lang w:val="en-US" w:eastAsia="zh-CN"/>
        </w:rPr>
        <w:t>项目竣工</w:t>
      </w:r>
      <w:r>
        <w:rPr>
          <w:rFonts w:hint="eastAsia" w:ascii="仿宋" w:hAnsi="仿宋" w:eastAsia="仿宋" w:cs="仿宋"/>
          <w:bCs/>
          <w:color w:val="auto"/>
          <w:kern w:val="0"/>
          <w:sz w:val="30"/>
          <w:szCs w:val="30"/>
        </w:rPr>
        <w:t>决算财务审计报告</w:t>
      </w:r>
      <w:r>
        <w:rPr>
          <w:rFonts w:hint="eastAsia" w:ascii="仿宋" w:hAnsi="仿宋" w:eastAsia="仿宋" w:cs="仿宋"/>
          <w:bCs/>
          <w:color w:val="auto"/>
          <w:kern w:val="0"/>
          <w:sz w:val="30"/>
          <w:szCs w:val="30"/>
          <w:lang w:val="en-US" w:eastAsia="zh-CN"/>
        </w:rPr>
        <w:t>且收到</w:t>
      </w:r>
      <w:r>
        <w:rPr>
          <w:rFonts w:hint="eastAsia" w:ascii="仿宋" w:hAnsi="仿宋" w:eastAsia="仿宋" w:cs="仿宋"/>
          <w:bCs/>
          <w:color w:val="auto"/>
          <w:kern w:val="0"/>
          <w:sz w:val="30"/>
          <w:szCs w:val="30"/>
        </w:rPr>
        <w:t xml:space="preserve">增值税专用发票 </w:t>
      </w:r>
      <w:r>
        <w:rPr>
          <w:rFonts w:hint="eastAsia" w:ascii="仿宋" w:hAnsi="仿宋" w:eastAsia="仿宋" w:cs="仿宋"/>
          <w:bCs/>
          <w:color w:val="auto"/>
          <w:kern w:val="0"/>
          <w:sz w:val="30"/>
          <w:szCs w:val="30"/>
          <w:lang w:val="en-US" w:eastAsia="zh-CN"/>
        </w:rPr>
        <w:t>30</w:t>
      </w:r>
      <w:r>
        <w:rPr>
          <w:rFonts w:hint="eastAsia" w:ascii="仿宋" w:hAnsi="仿宋" w:eastAsia="仿宋" w:cs="仿宋"/>
          <w:bCs/>
          <w:color w:val="auto"/>
          <w:kern w:val="0"/>
          <w:sz w:val="30"/>
          <w:szCs w:val="30"/>
        </w:rPr>
        <w:t xml:space="preserve"> 内付</w:t>
      </w:r>
      <w:r>
        <w:rPr>
          <w:rFonts w:hint="eastAsia" w:ascii="仿宋" w:hAnsi="仿宋" w:eastAsia="仿宋" w:cs="仿宋"/>
          <w:bCs/>
          <w:color w:val="auto"/>
          <w:kern w:val="0"/>
          <w:sz w:val="30"/>
          <w:szCs w:val="30"/>
          <w:lang w:val="en-US" w:eastAsia="zh-CN"/>
        </w:rPr>
        <w:t>总价款的</w:t>
      </w:r>
      <w:r>
        <w:rPr>
          <w:rFonts w:hint="eastAsia" w:ascii="仿宋" w:hAnsi="仿宋" w:eastAsia="仿宋" w:cs="仿宋"/>
          <w:bCs/>
          <w:color w:val="auto"/>
          <w:kern w:val="0"/>
          <w:sz w:val="30"/>
          <w:szCs w:val="30"/>
        </w:rPr>
        <w:t>80%，付款方式为</w:t>
      </w:r>
      <w:r>
        <w:rPr>
          <w:rFonts w:hint="eastAsia" w:ascii="仿宋" w:hAnsi="仿宋" w:eastAsia="仿宋" w:cs="仿宋"/>
          <w:bCs/>
          <w:color w:val="auto"/>
          <w:kern w:val="0"/>
          <w:sz w:val="30"/>
          <w:szCs w:val="30"/>
          <w:lang w:val="en-US" w:eastAsia="zh-CN"/>
        </w:rPr>
        <w:t>现汇</w:t>
      </w:r>
      <w:r>
        <w:rPr>
          <w:rFonts w:hint="eastAsia" w:ascii="仿宋" w:hAnsi="仿宋" w:eastAsia="仿宋" w:cs="仿宋"/>
          <w:bCs/>
          <w:color w:val="auto"/>
          <w:kern w:val="0"/>
          <w:sz w:val="30"/>
          <w:szCs w:val="30"/>
        </w:rPr>
        <w:t xml:space="preserve"> </w:t>
      </w:r>
      <w:r>
        <w:rPr>
          <w:rFonts w:hint="eastAsia" w:ascii="仿宋" w:hAnsi="仿宋" w:eastAsia="仿宋" w:cs="仿宋"/>
          <w:bCs/>
          <w:color w:val="auto"/>
          <w:kern w:val="0"/>
          <w:sz w:val="30"/>
          <w:szCs w:val="30"/>
          <w:lang w:eastAsia="zh-CN"/>
        </w:rPr>
        <w:t>；</w:t>
      </w:r>
      <w:r>
        <w:rPr>
          <w:rFonts w:hint="eastAsia" w:ascii="仿宋" w:hAnsi="仿宋" w:eastAsia="仿宋" w:cs="仿宋"/>
          <w:bCs/>
          <w:color w:val="auto"/>
          <w:kern w:val="0"/>
          <w:sz w:val="30"/>
          <w:szCs w:val="30"/>
        </w:rPr>
        <w:t>出具</w:t>
      </w:r>
      <w:r>
        <w:rPr>
          <w:rFonts w:hint="eastAsia" w:ascii="仿宋" w:hAnsi="仿宋" w:eastAsia="仿宋" w:cs="仿宋"/>
          <w:bCs/>
          <w:color w:val="auto"/>
          <w:kern w:val="0"/>
          <w:sz w:val="30"/>
          <w:szCs w:val="30"/>
          <w:lang w:val="en-US" w:eastAsia="zh-CN"/>
        </w:rPr>
        <w:t>我方认可的</w:t>
      </w:r>
      <w:r>
        <w:rPr>
          <w:rFonts w:hint="eastAsia" w:ascii="仿宋" w:hAnsi="仿宋" w:eastAsia="仿宋" w:cs="仿宋"/>
          <w:bCs/>
          <w:color w:val="auto"/>
          <w:kern w:val="0"/>
          <w:sz w:val="30"/>
          <w:szCs w:val="30"/>
        </w:rPr>
        <w:t>后评价报告</w:t>
      </w:r>
      <w:r>
        <w:rPr>
          <w:rFonts w:hint="eastAsia" w:ascii="仿宋" w:hAnsi="仿宋" w:eastAsia="仿宋" w:cs="仿宋"/>
          <w:bCs/>
          <w:color w:val="auto"/>
          <w:kern w:val="0"/>
          <w:sz w:val="30"/>
          <w:szCs w:val="30"/>
          <w:lang w:val="en-US" w:eastAsia="zh-CN"/>
        </w:rPr>
        <w:t>且收到</w:t>
      </w:r>
      <w:r>
        <w:rPr>
          <w:rFonts w:hint="eastAsia" w:ascii="仿宋" w:hAnsi="仿宋" w:eastAsia="仿宋" w:cs="仿宋"/>
          <w:bCs/>
          <w:color w:val="auto"/>
          <w:kern w:val="0"/>
          <w:sz w:val="30"/>
          <w:szCs w:val="30"/>
        </w:rPr>
        <w:t xml:space="preserve">增值税专用发票 </w:t>
      </w:r>
      <w:r>
        <w:rPr>
          <w:rFonts w:hint="eastAsia" w:ascii="仿宋" w:hAnsi="仿宋" w:eastAsia="仿宋" w:cs="仿宋"/>
          <w:bCs/>
          <w:color w:val="auto"/>
          <w:kern w:val="0"/>
          <w:sz w:val="30"/>
          <w:szCs w:val="30"/>
          <w:lang w:val="en-US" w:eastAsia="zh-CN"/>
        </w:rPr>
        <w:t>30</w:t>
      </w:r>
      <w:r>
        <w:rPr>
          <w:rFonts w:hint="eastAsia" w:ascii="仿宋" w:hAnsi="仿宋" w:eastAsia="仿宋" w:cs="仿宋"/>
          <w:bCs/>
          <w:color w:val="auto"/>
          <w:kern w:val="0"/>
          <w:sz w:val="30"/>
          <w:szCs w:val="30"/>
        </w:rPr>
        <w:t xml:space="preserve"> 内付20%</w:t>
      </w:r>
      <w:r>
        <w:rPr>
          <w:rFonts w:hint="eastAsia" w:ascii="仿宋" w:hAnsi="仿宋" w:eastAsia="仿宋" w:cs="仿宋"/>
          <w:bCs/>
          <w:color w:val="auto"/>
          <w:kern w:val="0"/>
          <w:sz w:val="30"/>
          <w:szCs w:val="30"/>
          <w:lang w:val="en-US" w:eastAsia="zh-CN"/>
        </w:rPr>
        <w:t>的尾</w:t>
      </w:r>
      <w:r>
        <w:rPr>
          <w:rFonts w:hint="eastAsia" w:ascii="仿宋" w:hAnsi="仿宋" w:eastAsia="仿宋" w:cs="仿宋"/>
          <w:bCs/>
          <w:color w:val="auto"/>
          <w:kern w:val="0"/>
          <w:sz w:val="30"/>
          <w:szCs w:val="30"/>
        </w:rPr>
        <w:t>款</w:t>
      </w:r>
      <w:r>
        <w:rPr>
          <w:rFonts w:hint="eastAsia" w:ascii="仿宋" w:hAnsi="仿宋" w:eastAsia="仿宋" w:cs="仿宋"/>
          <w:bCs/>
          <w:color w:val="auto"/>
          <w:kern w:val="0"/>
          <w:sz w:val="30"/>
          <w:szCs w:val="30"/>
          <w:lang w:eastAsia="zh-CN"/>
        </w:rPr>
        <w:t>，</w:t>
      </w:r>
      <w:r>
        <w:rPr>
          <w:rFonts w:hint="eastAsia" w:ascii="仿宋" w:hAnsi="仿宋" w:eastAsia="仿宋" w:cs="仿宋"/>
          <w:bCs/>
          <w:color w:val="auto"/>
          <w:kern w:val="0"/>
          <w:sz w:val="30"/>
          <w:szCs w:val="30"/>
        </w:rPr>
        <w:t>付款方式为</w:t>
      </w:r>
      <w:r>
        <w:rPr>
          <w:rFonts w:hint="eastAsia" w:ascii="仿宋" w:hAnsi="仿宋" w:eastAsia="仿宋" w:cs="仿宋"/>
          <w:bCs/>
          <w:color w:val="auto"/>
          <w:kern w:val="0"/>
          <w:sz w:val="30"/>
          <w:szCs w:val="30"/>
          <w:lang w:val="en-US" w:eastAsia="zh-CN"/>
        </w:rPr>
        <w:t>现汇</w:t>
      </w:r>
      <w:r>
        <w:rPr>
          <w:rFonts w:hint="eastAsia" w:ascii="仿宋" w:hAnsi="仿宋" w:eastAsia="仿宋" w:cs="仿宋"/>
          <w:bCs/>
          <w:color w:val="auto"/>
          <w:kern w:val="0"/>
          <w:sz w:val="30"/>
          <w:szCs w:val="30"/>
        </w:rPr>
        <w:t xml:space="preserve"> 。如投标人不接受招标人提出的付款方式，可在1688网站“交易信息”栏目或线下报价书中明确能够接受的付款方式及付款时间，评标时作为参考。报价为含税价，如有不同请注明。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w:t>
      </w:r>
      <w:r>
        <w:rPr>
          <w:rFonts w:hint="eastAsia" w:ascii="仿宋" w:hAnsi="仿宋" w:eastAsia="仿宋" w:cs="仿宋"/>
          <w:bCs/>
          <w:color w:val="auto"/>
          <w:kern w:val="1"/>
          <w:sz w:val="30"/>
          <w:szCs w:val="30"/>
          <w:lang w:val="en-US" w:eastAsia="zh-CN"/>
        </w:rPr>
        <w:t>进行</w:t>
      </w:r>
      <w:r>
        <w:rPr>
          <w:rFonts w:hint="eastAsia" w:ascii="仿宋" w:hAnsi="仿宋" w:eastAsia="仿宋" w:cs="仿宋"/>
          <w:bCs/>
          <w:color w:val="auto"/>
          <w:kern w:val="1"/>
          <w:sz w:val="30"/>
          <w:szCs w:val="30"/>
        </w:rPr>
        <w:t>线下</w:t>
      </w:r>
      <w:r>
        <w:rPr>
          <w:rFonts w:hint="eastAsia" w:ascii="仿宋" w:hAnsi="仿宋" w:eastAsia="仿宋" w:cs="仿宋"/>
          <w:bCs/>
          <w:color w:val="auto"/>
          <w:kern w:val="1"/>
          <w:sz w:val="30"/>
          <w:szCs w:val="30"/>
          <w:lang w:val="en-US" w:eastAsia="zh-CN"/>
        </w:rPr>
        <w:t>投标</w:t>
      </w:r>
      <w:r>
        <w:rPr>
          <w:rFonts w:hint="eastAsia" w:ascii="仿宋" w:hAnsi="仿宋" w:eastAsia="仿宋" w:cs="仿宋"/>
          <w:bCs/>
          <w:color w:val="auto"/>
          <w:kern w:val="1"/>
          <w:sz w:val="30"/>
          <w:szCs w:val="30"/>
        </w:rPr>
        <w:t>：</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采用线下投标应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投标文件还应包括正副本各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份，并要求在投标截止日之前送达，逾期将作为作废标处理。</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w:t>
      </w:r>
      <w:r>
        <w:rPr>
          <w:rFonts w:hint="eastAsia" w:ascii="仿宋" w:hAnsi="仿宋" w:eastAsia="仿宋" w:cs="仿宋"/>
          <w:bCs/>
          <w:color w:val="auto"/>
          <w:kern w:val="1"/>
          <w:sz w:val="30"/>
          <w:szCs w:val="30"/>
          <w:lang w:eastAsia="zh-CN"/>
        </w:rPr>
        <w:t>一切往来通信请</w:t>
      </w:r>
      <w:r>
        <w:rPr>
          <w:rFonts w:hint="eastAsia" w:ascii="仿宋" w:hAnsi="仿宋" w:eastAsia="仿宋" w:cs="仿宋"/>
          <w:bCs/>
          <w:color w:val="auto"/>
          <w:kern w:val="1"/>
          <w:sz w:val="30"/>
          <w:szCs w:val="30"/>
        </w:rPr>
        <w:t>密封寄：</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公司：江苏索普（集团）有限公司</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朱雯</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15005282957</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联系单位：江苏索普</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集团</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有限公司</w:t>
      </w:r>
    </w:p>
    <w:p>
      <w:pPr>
        <w:keepNext w:val="0"/>
        <w:keepLines w:val="0"/>
        <w:pageBreakBefore w:val="0"/>
        <w:widowControl w:val="0"/>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w:t>
      </w:r>
      <w:r>
        <w:rPr>
          <w:rFonts w:hint="eastAsia" w:ascii="仿宋" w:hAnsi="仿宋" w:eastAsia="仿宋" w:cs="仿宋"/>
          <w:bCs/>
          <w:color w:val="auto"/>
          <w:kern w:val="1"/>
          <w:sz w:val="30"/>
          <w:szCs w:val="30"/>
          <w:lang w:val="en-US" w:eastAsia="zh-CN"/>
        </w:rPr>
        <w:t>求索路101号</w:t>
      </w:r>
      <w:r>
        <w:rPr>
          <w:rFonts w:hint="eastAsia" w:ascii="仿宋" w:hAnsi="仿宋" w:eastAsia="仿宋" w:cs="仿宋"/>
          <w:bCs/>
          <w:color w:val="auto"/>
          <w:kern w:val="1"/>
          <w:sz w:val="30"/>
          <w:szCs w:val="30"/>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朱雯 15005282957</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孟繁萍 13815156007</w:t>
      </w:r>
    </w:p>
    <w:p>
      <w:pPr>
        <w:keepNext w:val="0"/>
        <w:keepLines w:val="0"/>
        <w:pageBreakBefore w:val="0"/>
        <w:widowControl w:val="0"/>
        <w:numPr>
          <w:ilvl w:val="0"/>
          <w:numId w:val="2"/>
        </w:numPr>
        <w:kinsoku/>
        <w:overflowPunct/>
        <w:topLinePunct w:val="0"/>
        <w:autoSpaceDE/>
        <w:autoSpaceDN/>
        <w:bidi w:val="0"/>
        <w:adjustRightInd w:val="0"/>
        <w:snapToGrid w:val="0"/>
        <w:spacing w:line="600" w:lineRule="exact"/>
        <w:ind w:right="0" w:firstLine="602"/>
        <w:jc w:val="left"/>
        <w:textAlignment w:val="auto"/>
        <w:outlineLvl w:val="9"/>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开标、评标、流标及废标：</w:t>
      </w:r>
    </w:p>
    <w:p>
      <w:pPr>
        <w:keepNext w:val="0"/>
        <w:keepLines w:val="0"/>
        <w:pageBreakBefore w:val="0"/>
        <w:widowControl w:val="0"/>
        <w:numPr>
          <w:ilvl w:val="0"/>
          <w:numId w:val="3"/>
        </w:numPr>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开标</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rPr>
      </w:pPr>
      <w:r>
        <w:rPr>
          <w:rFonts w:hint="eastAsia" w:ascii="仿宋" w:hAnsi="仿宋" w:eastAsia="仿宋" w:cs="仿宋"/>
          <w:bCs/>
          <w:color w:val="auto"/>
          <w:kern w:val="1"/>
          <w:sz w:val="30"/>
          <w:szCs w:val="30"/>
        </w:rPr>
        <w:t>本项目由招标人组织评标小组负责开标工作，确定最终中标人。</w:t>
      </w:r>
    </w:p>
    <w:p>
      <w:pPr>
        <w:keepNext w:val="0"/>
        <w:keepLines w:val="0"/>
        <w:pageBreakBefore w:val="0"/>
        <w:widowControl w:val="0"/>
        <w:numPr>
          <w:ilvl w:val="0"/>
          <w:numId w:val="3"/>
        </w:numPr>
        <w:kinsoku/>
        <w:overflowPunct/>
        <w:topLinePunct w:val="0"/>
        <w:autoSpaceDE/>
        <w:autoSpaceDN/>
        <w:bidi w:val="0"/>
        <w:adjustRightInd w:val="0"/>
        <w:snapToGrid w:val="0"/>
        <w:spacing w:line="600" w:lineRule="exact"/>
        <w:ind w:left="30"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评标</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在能够满足招标人技术要求及</w:t>
      </w:r>
      <w:r>
        <w:rPr>
          <w:rFonts w:hint="eastAsia" w:ascii="仿宋_GB2312" w:hAnsi="宋体" w:eastAsia="仿宋_GB2312" w:cs="‹ÎSå"/>
          <w:color w:val="auto"/>
          <w:kern w:val="1"/>
          <w:sz w:val="30"/>
          <w:szCs w:val="30"/>
          <w:lang w:val="en-US" w:eastAsia="zh-CN"/>
        </w:rPr>
        <w:t>时间</w:t>
      </w:r>
      <w:r>
        <w:rPr>
          <w:rFonts w:hint="eastAsia" w:ascii="仿宋_GB2312" w:hAnsi="宋体" w:eastAsia="仿宋_GB2312" w:cs="‹ÎSå"/>
          <w:color w:val="auto"/>
          <w:kern w:val="1"/>
          <w:sz w:val="30"/>
          <w:szCs w:val="30"/>
        </w:rPr>
        <w:t>要求的投标人中</w:t>
      </w:r>
      <w:r>
        <w:rPr>
          <w:rFonts w:hint="eastAsia" w:ascii="仿宋_GB2312" w:hAnsi="宋体" w:eastAsia="仿宋_GB2312" w:cs="‹ÎSå"/>
          <w:color w:val="auto"/>
          <w:kern w:val="1"/>
          <w:sz w:val="30"/>
          <w:szCs w:val="30"/>
          <w:lang w:eastAsia="zh-CN"/>
        </w:rPr>
        <w:t>，</w:t>
      </w:r>
      <w:r>
        <w:rPr>
          <w:rFonts w:hint="eastAsia" w:ascii="仿宋_GB2312" w:hAnsi="宋体" w:eastAsia="仿宋_GB2312" w:cs="‹ÎSå"/>
          <w:color w:val="auto"/>
          <w:kern w:val="1"/>
          <w:sz w:val="30"/>
          <w:szCs w:val="30"/>
          <w:lang w:val="en-US" w:eastAsia="zh-CN"/>
        </w:rPr>
        <w:t>通过综合评分法，</w:t>
      </w:r>
      <w:r>
        <w:rPr>
          <w:rFonts w:hint="eastAsia" w:ascii="仿宋_GB2312" w:hAnsi="宋体" w:eastAsia="仿宋_GB2312" w:cs="‹ÎSå"/>
          <w:color w:val="auto"/>
          <w:kern w:val="1"/>
          <w:sz w:val="30"/>
          <w:szCs w:val="30"/>
        </w:rPr>
        <w:t>选择</w:t>
      </w:r>
      <w:r>
        <w:rPr>
          <w:rFonts w:hint="eastAsia" w:ascii="仿宋_GB2312" w:hAnsi="宋体" w:eastAsia="仿宋_GB2312" w:cs="‹ÎSå"/>
          <w:color w:val="auto"/>
          <w:kern w:val="1"/>
          <w:sz w:val="30"/>
          <w:szCs w:val="30"/>
          <w:lang w:val="en-US" w:eastAsia="zh-CN"/>
        </w:rPr>
        <w:t>评分最高</w:t>
      </w:r>
      <w:r>
        <w:rPr>
          <w:rFonts w:hint="eastAsia" w:ascii="仿宋_GB2312" w:hAnsi="宋体" w:eastAsia="仿宋_GB2312" w:cs="‹ÎSå"/>
          <w:color w:val="auto"/>
          <w:kern w:val="1"/>
          <w:sz w:val="30"/>
          <w:szCs w:val="30"/>
        </w:rPr>
        <w:t>一家投标人作为中标候选人。</w:t>
      </w:r>
      <w:r>
        <w:rPr>
          <w:rFonts w:hint="eastAsia" w:ascii="仿宋_GB2312" w:hAnsi="宋体" w:eastAsia="仿宋_GB2312" w:cs="‹ÎSå"/>
          <w:color w:val="auto"/>
          <w:kern w:val="1"/>
          <w:sz w:val="30"/>
          <w:szCs w:val="30"/>
          <w:lang w:val="en-US" w:eastAsia="zh-CN"/>
        </w:rPr>
        <w:t>评分细则如下：</w:t>
      </w:r>
    </w:p>
    <w:tbl>
      <w:tblPr>
        <w:tblStyle w:val="12"/>
        <w:tblpPr w:leftFromText="180" w:rightFromText="180" w:vertAnchor="page" w:horzAnchor="page" w:tblpX="1437" w:tblpY="12121"/>
        <w:tblOverlap w:val="neve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770"/>
        <w:gridCol w:w="1064"/>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10" w:type="dxa"/>
            <w:vAlign w:val="top"/>
          </w:tcPr>
          <w:p>
            <w:pPr>
              <w:widowControl w:val="0"/>
              <w:jc w:val="center"/>
              <w:rPr>
                <w:rFonts w:hint="eastAsia" w:eastAsiaTheme="minorEastAsia"/>
                <w:b/>
                <w:bCs/>
                <w:lang w:val="en-US" w:eastAsia="zh-CN"/>
              </w:rPr>
            </w:pPr>
            <w:r>
              <w:rPr>
                <w:rFonts w:hint="eastAsia"/>
                <w:b/>
                <w:bCs/>
                <w:lang w:val="en-US" w:eastAsia="zh-CN"/>
              </w:rPr>
              <w:t>序号</w:t>
            </w:r>
          </w:p>
        </w:tc>
        <w:tc>
          <w:tcPr>
            <w:tcW w:w="770" w:type="dxa"/>
            <w:vAlign w:val="top"/>
          </w:tcPr>
          <w:p>
            <w:pPr>
              <w:widowControl w:val="0"/>
              <w:jc w:val="center"/>
              <w:rPr>
                <w:rFonts w:hint="eastAsia" w:eastAsiaTheme="minorEastAsia"/>
                <w:b/>
                <w:bCs/>
                <w:lang w:eastAsia="zh-CN"/>
              </w:rPr>
            </w:pPr>
            <w:r>
              <w:rPr>
                <w:rFonts w:hint="eastAsia"/>
                <w:b/>
                <w:bCs/>
                <w:lang w:eastAsia="zh-CN"/>
              </w:rPr>
              <w:t>评分项目</w:t>
            </w:r>
          </w:p>
        </w:tc>
        <w:tc>
          <w:tcPr>
            <w:tcW w:w="1064" w:type="dxa"/>
            <w:vAlign w:val="top"/>
          </w:tcPr>
          <w:p>
            <w:pPr>
              <w:widowControl w:val="0"/>
              <w:jc w:val="center"/>
              <w:rPr>
                <w:rFonts w:hint="eastAsia" w:eastAsiaTheme="minorEastAsia"/>
                <w:b/>
                <w:bCs/>
                <w:lang w:eastAsia="zh-CN"/>
              </w:rPr>
            </w:pPr>
            <w:r>
              <w:rPr>
                <w:rFonts w:hint="eastAsia"/>
                <w:b/>
                <w:bCs/>
                <w:lang w:eastAsia="zh-CN"/>
              </w:rPr>
              <w:t>分值</w:t>
            </w:r>
          </w:p>
        </w:tc>
        <w:tc>
          <w:tcPr>
            <w:tcW w:w="6914" w:type="dxa"/>
            <w:vAlign w:val="top"/>
          </w:tcPr>
          <w:p>
            <w:pPr>
              <w:widowControl w:val="0"/>
              <w:jc w:val="center"/>
              <w:rPr>
                <w:rFonts w:hint="eastAsia" w:eastAsiaTheme="minorEastAsia"/>
                <w:b/>
                <w:bCs/>
                <w:lang w:eastAsia="zh-CN"/>
              </w:rPr>
            </w:pPr>
            <w:r>
              <w:rPr>
                <w:rFonts w:hint="eastAsia"/>
                <w:b/>
                <w:bCs/>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610" w:type="dxa"/>
            <w:vAlign w:val="top"/>
          </w:tcPr>
          <w:p>
            <w:pPr>
              <w:widowControl w:val="0"/>
              <w:jc w:val="center"/>
              <w:rPr>
                <w:rFonts w:hint="eastAsia"/>
                <w:b/>
                <w:bCs/>
                <w:lang w:val="en-US" w:eastAsia="zh-CN"/>
              </w:rPr>
            </w:pPr>
          </w:p>
          <w:p>
            <w:pPr>
              <w:widowControl w:val="0"/>
              <w:ind w:firstLine="211"/>
              <w:jc w:val="both"/>
              <w:rPr>
                <w:rFonts w:hint="eastAsia"/>
                <w:b/>
                <w:bCs/>
                <w:lang w:val="en-US" w:eastAsia="zh-CN"/>
              </w:rPr>
            </w:pPr>
          </w:p>
          <w:p>
            <w:pPr>
              <w:widowControl w:val="0"/>
              <w:ind w:firstLine="211"/>
              <w:jc w:val="both"/>
              <w:rPr>
                <w:rFonts w:hint="eastAsia"/>
                <w:b/>
                <w:bCs/>
                <w:lang w:val="en-US" w:eastAsia="zh-CN"/>
              </w:rPr>
            </w:pPr>
          </w:p>
          <w:p>
            <w:pPr>
              <w:widowControl w:val="0"/>
              <w:ind w:firstLine="211"/>
              <w:jc w:val="both"/>
              <w:rPr>
                <w:rFonts w:hint="eastAsia" w:eastAsiaTheme="minorEastAsia"/>
                <w:b/>
                <w:bCs/>
                <w:lang w:val="en-US" w:eastAsia="zh-CN"/>
              </w:rPr>
            </w:pPr>
            <w:r>
              <w:rPr>
                <w:rFonts w:hint="eastAsia"/>
                <w:b/>
                <w:bCs/>
                <w:lang w:val="en-US" w:eastAsia="zh-CN"/>
              </w:rPr>
              <w:t>1</w:t>
            </w:r>
          </w:p>
        </w:tc>
        <w:tc>
          <w:tcPr>
            <w:tcW w:w="770" w:type="dxa"/>
            <w:vAlign w:val="top"/>
          </w:tcPr>
          <w:p>
            <w:pPr>
              <w:widowControl w:val="0"/>
              <w:jc w:val="center"/>
              <w:rPr>
                <w:rFonts w:hint="eastAsia"/>
                <w:b/>
                <w:bCs/>
                <w:lang w:eastAsia="zh-CN"/>
              </w:rPr>
            </w:pPr>
          </w:p>
          <w:p>
            <w:pPr>
              <w:widowControl w:val="0"/>
              <w:ind w:firstLine="211"/>
              <w:jc w:val="both"/>
              <w:rPr>
                <w:rFonts w:hint="eastAsia"/>
                <w:b/>
                <w:bCs/>
                <w:lang w:eastAsia="zh-CN"/>
              </w:rPr>
            </w:pPr>
          </w:p>
          <w:p>
            <w:pPr>
              <w:widowControl w:val="0"/>
              <w:ind w:firstLine="211"/>
              <w:jc w:val="both"/>
              <w:rPr>
                <w:rFonts w:hint="eastAsia"/>
                <w:b/>
                <w:bCs/>
                <w:lang w:eastAsia="zh-CN"/>
              </w:rPr>
            </w:pPr>
          </w:p>
          <w:p>
            <w:pPr>
              <w:widowControl w:val="0"/>
              <w:jc w:val="center"/>
              <w:rPr>
                <w:rFonts w:hint="eastAsia" w:eastAsiaTheme="minorEastAsia"/>
                <w:b/>
                <w:bCs/>
                <w:lang w:eastAsia="zh-CN"/>
              </w:rPr>
            </w:pPr>
            <w:r>
              <w:rPr>
                <w:rFonts w:hint="eastAsia"/>
                <w:b/>
                <w:bCs/>
                <w:lang w:eastAsia="zh-CN"/>
              </w:rPr>
              <w:t>项目报价</w:t>
            </w:r>
          </w:p>
        </w:tc>
        <w:tc>
          <w:tcPr>
            <w:tcW w:w="1064" w:type="dxa"/>
            <w:vAlign w:val="top"/>
          </w:tcPr>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default" w:eastAsiaTheme="minorEastAsia"/>
                <w:b/>
                <w:bCs/>
                <w:lang w:val="en-US" w:eastAsia="zh-CN"/>
              </w:rPr>
            </w:pPr>
            <w:r>
              <w:rPr>
                <w:rFonts w:hint="eastAsia"/>
                <w:b/>
                <w:bCs/>
                <w:lang w:val="en-US" w:eastAsia="zh-CN"/>
              </w:rPr>
              <w:t>40</w:t>
            </w:r>
          </w:p>
        </w:tc>
        <w:tc>
          <w:tcPr>
            <w:tcW w:w="6914" w:type="dxa"/>
            <w:vAlign w:val="top"/>
          </w:tcPr>
          <w:p>
            <w:pPr>
              <w:widowControl w:val="0"/>
              <w:jc w:val="both"/>
              <w:rPr>
                <w:rFonts w:hint="eastAsia"/>
              </w:rPr>
            </w:pPr>
            <w:r>
              <w:rPr>
                <w:rFonts w:hint="eastAsia"/>
              </w:rPr>
              <w:t>评</w:t>
            </w:r>
            <w:r>
              <w:rPr>
                <w:rFonts w:hint="eastAsia"/>
                <w:lang w:val="en-US" w:eastAsia="zh-CN"/>
              </w:rPr>
              <w:t>标</w:t>
            </w:r>
            <w:r>
              <w:rPr>
                <w:rFonts w:hint="eastAsia"/>
              </w:rPr>
              <w:t>基准</w:t>
            </w:r>
            <w:r>
              <w:rPr>
                <w:rFonts w:hint="eastAsia"/>
                <w:lang w:val="en-US" w:eastAsia="zh-CN"/>
              </w:rPr>
              <w:t>价</w:t>
            </w:r>
            <w:r>
              <w:rPr>
                <w:rFonts w:hint="eastAsia"/>
              </w:rPr>
              <w:t>：所有投标单位的项目报价的算术平均值</w:t>
            </w:r>
            <w:r>
              <w:rPr>
                <w:rFonts w:hint="eastAsia"/>
                <w:lang w:eastAsia="zh-CN"/>
              </w:rPr>
              <w:t>（</w:t>
            </w:r>
            <w:r>
              <w:rPr>
                <w:rFonts w:hint="eastAsia"/>
                <w:lang w:val="en-US" w:eastAsia="zh-CN"/>
              </w:rPr>
              <w:t>以不含税价作为测算依据</w:t>
            </w:r>
            <w:r>
              <w:rPr>
                <w:rFonts w:hint="eastAsia"/>
                <w:lang w:eastAsia="zh-CN"/>
              </w:rPr>
              <w:t>）</w:t>
            </w:r>
            <w:r>
              <w:rPr>
                <w:rFonts w:hint="eastAsia"/>
              </w:rPr>
              <w:t>。</w:t>
            </w:r>
          </w:p>
          <w:p>
            <w:pPr>
              <w:widowControl w:val="0"/>
              <w:jc w:val="both"/>
            </w:pPr>
            <w:r>
              <w:rPr>
                <w:rFonts w:hint="eastAsia"/>
              </w:rPr>
              <w:t>投标人项目报价与评标基准价相等则得基本分</w:t>
            </w:r>
            <w:r>
              <w:rPr>
                <w:rFonts w:hint="eastAsia"/>
                <w:lang w:val="en-US" w:eastAsia="zh-CN"/>
              </w:rPr>
              <w:t>30</w:t>
            </w:r>
            <w:r>
              <w:rPr>
                <w:rFonts w:hint="eastAsia"/>
              </w:rPr>
              <w:t>分。</w:t>
            </w:r>
          </w:p>
          <w:p>
            <w:pPr>
              <w:widowControl w:val="0"/>
              <w:jc w:val="both"/>
              <w:rPr>
                <w:rFonts w:hint="eastAsia" w:eastAsia="宋体"/>
                <w:lang w:eastAsia="zh-CN"/>
              </w:rPr>
            </w:pPr>
            <w:r>
              <w:rPr>
                <w:rFonts w:hint="eastAsia"/>
              </w:rPr>
              <w:t>投标人项目报价每高</w:t>
            </w:r>
            <w:r>
              <w:rPr>
                <w:rFonts w:hint="eastAsia"/>
                <w:lang w:val="en-US" w:eastAsia="zh-CN"/>
              </w:rPr>
              <w:t>于基准价1</w:t>
            </w:r>
            <w:r>
              <w:rPr>
                <w:rFonts w:hint="eastAsia"/>
              </w:rPr>
              <w:t>% 扣</w:t>
            </w:r>
            <w:r>
              <w:rPr>
                <w:rFonts w:hint="eastAsia"/>
                <w:lang w:val="en-US" w:eastAsia="zh-CN"/>
              </w:rPr>
              <w:t>0.5</w:t>
            </w:r>
            <w:r>
              <w:rPr>
                <w:rFonts w:hint="eastAsia"/>
              </w:rPr>
              <w:t>分，最多扣</w:t>
            </w:r>
            <w:r>
              <w:rPr>
                <w:rFonts w:hint="eastAsia"/>
                <w:lang w:val="en-US" w:eastAsia="zh-CN"/>
              </w:rPr>
              <w:t>10</w:t>
            </w:r>
            <w:r>
              <w:rPr>
                <w:rFonts w:hint="eastAsia"/>
              </w:rPr>
              <w:t>分。</w:t>
            </w:r>
            <w:r>
              <w:rPr>
                <w:rFonts w:hint="eastAsia"/>
                <w:lang w:eastAsia="zh-CN"/>
              </w:rPr>
              <w:t>（</w:t>
            </w:r>
            <w:r>
              <w:rPr>
                <w:rFonts w:hint="eastAsia"/>
                <w:lang w:val="en-US" w:eastAsia="zh-CN"/>
              </w:rPr>
              <w:t>保留两位小数</w:t>
            </w:r>
            <w:r>
              <w:rPr>
                <w:rFonts w:hint="eastAsia"/>
                <w:lang w:eastAsia="zh-CN"/>
              </w:rPr>
              <w:t>）</w:t>
            </w:r>
          </w:p>
          <w:p>
            <w:pPr>
              <w:pStyle w:val="5"/>
              <w:widowControl w:val="0"/>
              <w:jc w:val="both"/>
              <w:rPr>
                <w:rFonts w:hint="default"/>
                <w:lang w:val="en-US" w:eastAsia="zh-CN"/>
              </w:rPr>
            </w:pPr>
            <w:r>
              <w:rPr>
                <w:rFonts w:hint="eastAsia"/>
              </w:rPr>
              <w:t>投标人项目报价每低于</w:t>
            </w:r>
            <w:r>
              <w:rPr>
                <w:rFonts w:hint="eastAsia"/>
                <w:lang w:val="en-US" w:eastAsia="zh-CN"/>
              </w:rPr>
              <w:t>基</w:t>
            </w:r>
            <w:r>
              <w:rPr>
                <w:rFonts w:hint="eastAsia"/>
              </w:rPr>
              <w:t>准价1%</w:t>
            </w:r>
            <w:r>
              <w:rPr>
                <w:rFonts w:hint="eastAsia"/>
                <w:lang w:val="en-US" w:eastAsia="zh-CN"/>
              </w:rPr>
              <w:t xml:space="preserve"> </w:t>
            </w:r>
            <w:r>
              <w:rPr>
                <w:rFonts w:hint="eastAsia"/>
              </w:rPr>
              <w:t>加</w:t>
            </w:r>
            <w:r>
              <w:rPr>
                <w:rFonts w:hint="eastAsia"/>
                <w:lang w:val="en-US" w:eastAsia="zh-CN"/>
              </w:rPr>
              <w:t>0.5</w:t>
            </w:r>
            <w:r>
              <w:rPr>
                <w:rFonts w:hint="eastAsia"/>
              </w:rPr>
              <w:t>分，最多加</w:t>
            </w:r>
            <w:r>
              <w:rPr>
                <w:rFonts w:hint="eastAsia"/>
                <w:lang w:val="en-US" w:eastAsia="zh-CN"/>
              </w:rPr>
              <w:t>10</w:t>
            </w:r>
            <w:r>
              <w:rPr>
                <w:rFonts w:hint="eastAsia"/>
              </w:rPr>
              <w:t>分。</w:t>
            </w:r>
            <w:r>
              <w:rPr>
                <w:rFonts w:hint="eastAsia"/>
                <w:lang w:eastAsia="zh-CN"/>
              </w:rPr>
              <w:t>（</w:t>
            </w:r>
            <w:r>
              <w:rPr>
                <w:rFonts w:hint="eastAsia"/>
                <w:lang w:val="en-US" w:eastAsia="zh-CN"/>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610" w:type="dxa"/>
            <w:vAlign w:val="top"/>
          </w:tcPr>
          <w:p>
            <w:pPr>
              <w:widowControl w:val="0"/>
              <w:jc w:val="center"/>
              <w:rPr>
                <w:rFonts w:hint="eastAsia"/>
                <w:b/>
                <w:bCs/>
                <w:lang w:val="en-US" w:eastAsia="zh-CN"/>
              </w:rPr>
            </w:pPr>
          </w:p>
          <w:p>
            <w:pPr>
              <w:widowControl w:val="0"/>
              <w:jc w:val="both"/>
              <w:rPr>
                <w:rFonts w:hint="eastAsia"/>
                <w:b/>
                <w:bCs/>
                <w:lang w:val="en-US" w:eastAsia="zh-CN"/>
              </w:rPr>
            </w:pPr>
          </w:p>
          <w:p>
            <w:pPr>
              <w:widowControl w:val="0"/>
              <w:jc w:val="center"/>
              <w:rPr>
                <w:rFonts w:hint="eastAsia"/>
                <w:b/>
                <w:bCs/>
                <w:lang w:val="en-US" w:eastAsia="zh-CN"/>
              </w:rPr>
            </w:pPr>
          </w:p>
          <w:p>
            <w:pPr>
              <w:widowControl w:val="0"/>
              <w:ind w:firstLine="211"/>
              <w:jc w:val="both"/>
              <w:rPr>
                <w:rFonts w:hint="eastAsia" w:eastAsiaTheme="minorEastAsia"/>
                <w:b/>
                <w:bCs/>
                <w:lang w:val="en-US" w:eastAsia="zh-CN"/>
              </w:rPr>
            </w:pPr>
            <w:r>
              <w:rPr>
                <w:rFonts w:hint="eastAsia"/>
                <w:b/>
                <w:bCs/>
                <w:lang w:val="en-US" w:eastAsia="zh-CN"/>
              </w:rPr>
              <w:t>2</w:t>
            </w:r>
          </w:p>
        </w:tc>
        <w:tc>
          <w:tcPr>
            <w:tcW w:w="770" w:type="dxa"/>
            <w:vAlign w:val="top"/>
          </w:tcPr>
          <w:p>
            <w:pPr>
              <w:widowControl w:val="0"/>
              <w:jc w:val="center"/>
              <w:rPr>
                <w:rFonts w:hint="eastAsia"/>
                <w:b/>
                <w:bCs/>
                <w:lang w:eastAsia="zh-CN"/>
              </w:rPr>
            </w:pPr>
          </w:p>
          <w:p>
            <w:pPr>
              <w:widowControl w:val="0"/>
              <w:jc w:val="both"/>
              <w:rPr>
                <w:rFonts w:hint="eastAsia"/>
                <w:b/>
                <w:bCs/>
                <w:lang w:eastAsia="zh-CN"/>
              </w:rPr>
            </w:pPr>
          </w:p>
          <w:p>
            <w:pPr>
              <w:widowControl w:val="0"/>
              <w:jc w:val="both"/>
              <w:rPr>
                <w:rFonts w:hint="eastAsia"/>
                <w:b/>
                <w:bCs/>
                <w:lang w:val="en-US"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b/>
                <w:bCs/>
                <w:lang w:val="en-US" w:eastAsia="zh-CN"/>
              </w:rPr>
              <w:t>经验</w:t>
            </w:r>
            <w:r>
              <w:rPr>
                <w:rFonts w:hint="eastAsia"/>
                <w:b/>
                <w:bCs/>
                <w:lang w:eastAsia="zh-CN"/>
              </w:rPr>
              <w:t>业绩</w:t>
            </w:r>
          </w:p>
        </w:tc>
        <w:tc>
          <w:tcPr>
            <w:tcW w:w="1064" w:type="dxa"/>
            <w:vAlign w:val="top"/>
          </w:tcPr>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b/>
                <w:bCs/>
                <w:lang w:val="en-US" w:eastAsia="zh-CN"/>
              </w:rPr>
              <w:t>30</w:t>
            </w:r>
          </w:p>
        </w:tc>
        <w:tc>
          <w:tcPr>
            <w:tcW w:w="6914" w:type="dxa"/>
            <w:vAlign w:val="top"/>
          </w:tcPr>
          <w:p>
            <w:pPr>
              <w:widowControl w:val="0"/>
              <w:numPr>
                <w:ilvl w:val="0"/>
                <w:numId w:val="4"/>
              </w:numPr>
              <w:jc w:val="both"/>
              <w:rPr>
                <w:rFonts w:hint="eastAsia"/>
              </w:rPr>
            </w:pPr>
            <w:r>
              <w:rPr>
                <w:rFonts w:hint="eastAsia"/>
                <w:lang w:val="en-US" w:eastAsia="zh-CN"/>
              </w:rPr>
              <w:t>投标人</w:t>
            </w:r>
            <w:r>
              <w:rPr>
                <w:rFonts w:hint="eastAsia"/>
              </w:rPr>
              <w:t>近</w:t>
            </w:r>
            <w:r>
              <w:rPr>
                <w:rFonts w:hint="eastAsia"/>
                <w:lang w:val="en-US" w:eastAsia="zh-CN"/>
              </w:rPr>
              <w:t>5</w:t>
            </w:r>
            <w:r>
              <w:rPr>
                <w:rFonts w:hint="eastAsia"/>
              </w:rPr>
              <w:t>年</w:t>
            </w:r>
            <w:r>
              <w:rPr>
                <w:rFonts w:hint="eastAsia"/>
                <w:lang w:eastAsia="zh-CN"/>
              </w:rPr>
              <w:t>（</w:t>
            </w:r>
            <w:r>
              <w:rPr>
                <w:rFonts w:hint="eastAsia"/>
                <w:lang w:val="en-US" w:eastAsia="zh-CN"/>
              </w:rPr>
              <w:t>2019年1月至今，以审计报告出具时间为准）有化工企业基建项目竣工决算财务审计业绩：项目总投资</w:t>
            </w:r>
            <w:r>
              <w:t>价大于（含）2000万元小于1亿元的，每有一项得</w:t>
            </w:r>
            <w:r>
              <w:rPr>
                <w:rFonts w:hint="eastAsia"/>
                <w:lang w:val="en-US" w:eastAsia="zh-CN"/>
              </w:rPr>
              <w:t>1</w:t>
            </w:r>
            <w:r>
              <w:t>分</w:t>
            </w:r>
            <w:r>
              <w:rPr>
                <w:rFonts w:hint="eastAsia"/>
                <w:lang w:eastAsia="zh-CN"/>
              </w:rPr>
              <w:t>（</w:t>
            </w:r>
            <w:r>
              <w:rPr>
                <w:rFonts w:hint="eastAsia"/>
                <w:lang w:val="en-US" w:eastAsia="zh-CN"/>
              </w:rPr>
              <w:t>该单项不超过10分</w:t>
            </w:r>
            <w:r>
              <w:rPr>
                <w:rFonts w:hint="eastAsia"/>
                <w:lang w:eastAsia="zh-CN"/>
              </w:rPr>
              <w:t>）</w:t>
            </w:r>
            <w:r>
              <w:t>；</w:t>
            </w:r>
            <w:r>
              <w:rPr>
                <w:rFonts w:hint="eastAsia"/>
                <w:lang w:val="en-US" w:eastAsia="zh-CN"/>
              </w:rPr>
              <w:t>项目总投资</w:t>
            </w:r>
            <w:r>
              <w:t>大于（含）1亿元的小于10亿元的，每有一项得3分；</w:t>
            </w:r>
            <w:r>
              <w:rPr>
                <w:rFonts w:hint="eastAsia"/>
                <w:lang w:val="en-US" w:eastAsia="zh-CN"/>
              </w:rPr>
              <w:t>项目总投资</w:t>
            </w:r>
            <w:r>
              <w:t>大于（含）10亿元的，每有一项得</w:t>
            </w:r>
            <w:r>
              <w:rPr>
                <w:rFonts w:hint="eastAsia"/>
                <w:lang w:val="en-US" w:eastAsia="zh-CN"/>
              </w:rPr>
              <w:t>5</w:t>
            </w:r>
            <w:r>
              <w:t>分</w:t>
            </w:r>
            <w:r>
              <w:rPr>
                <w:rFonts w:hint="eastAsia"/>
                <w:lang w:eastAsia="zh-CN"/>
              </w:rPr>
              <w:t>。</w:t>
            </w:r>
            <w:r>
              <w:rPr>
                <w:rFonts w:hint="eastAsia"/>
              </w:rPr>
              <w:t>（</w:t>
            </w:r>
            <w:r>
              <w:rPr>
                <w:rFonts w:hint="eastAsia"/>
                <w:b/>
                <w:bCs/>
              </w:rPr>
              <w:t>本项</w:t>
            </w:r>
            <w:r>
              <w:rPr>
                <w:rFonts w:hint="eastAsia"/>
                <w:b/>
                <w:bCs/>
                <w:lang w:val="en-US" w:eastAsia="zh-CN"/>
              </w:rPr>
              <w:t>最多</w:t>
            </w:r>
            <w:r>
              <w:rPr>
                <w:rFonts w:hint="eastAsia"/>
                <w:b/>
                <w:bCs/>
              </w:rPr>
              <w:t>得分</w:t>
            </w:r>
            <w:r>
              <w:rPr>
                <w:rFonts w:hint="eastAsia"/>
                <w:b/>
                <w:bCs/>
                <w:lang w:val="en-US" w:eastAsia="zh-CN"/>
              </w:rPr>
              <w:t>24分</w:t>
            </w:r>
            <w:r>
              <w:rPr>
                <w:rFonts w:hint="eastAsia"/>
              </w:rPr>
              <w:t>）</w:t>
            </w:r>
          </w:p>
          <w:p>
            <w:pPr>
              <w:widowControl w:val="0"/>
              <w:numPr>
                <w:ilvl w:val="0"/>
                <w:numId w:val="4"/>
              </w:numPr>
              <w:jc w:val="both"/>
              <w:rPr>
                <w:rFonts w:ascii="Calibri" w:hAnsiTheme="minorHAnsi" w:eastAsiaTheme="minorEastAsia" w:cstheme="minorBidi"/>
                <w:kern w:val="2"/>
                <w:sz w:val="21"/>
                <w:szCs w:val="24"/>
                <w:lang w:val="en-US" w:eastAsia="zh-CN" w:bidi="ar-SA"/>
              </w:rPr>
            </w:pPr>
            <w:r>
              <w:rPr>
                <w:rFonts w:hint="eastAsia"/>
              </w:rPr>
              <w:t>近</w:t>
            </w:r>
            <w:r>
              <w:rPr>
                <w:rFonts w:hint="eastAsia"/>
                <w:lang w:val="en-US" w:eastAsia="zh-CN"/>
              </w:rPr>
              <w:t>5</w:t>
            </w:r>
            <w:r>
              <w:rPr>
                <w:rFonts w:hint="eastAsia"/>
              </w:rPr>
              <w:t>年</w:t>
            </w:r>
            <w:r>
              <w:rPr>
                <w:rFonts w:hint="eastAsia"/>
                <w:lang w:eastAsia="zh-CN"/>
              </w:rPr>
              <w:t>（</w:t>
            </w:r>
            <w:r>
              <w:rPr>
                <w:rFonts w:hint="eastAsia"/>
                <w:lang w:val="en-US" w:eastAsia="zh-CN"/>
              </w:rPr>
              <w:t>2019年1月至今，以后评价报告出具时间为准</w:t>
            </w:r>
            <w:r>
              <w:rPr>
                <w:rFonts w:hint="eastAsia"/>
                <w:lang w:eastAsia="zh-CN"/>
              </w:rPr>
              <w:t>）</w:t>
            </w:r>
            <w:r>
              <w:rPr>
                <w:rFonts w:hint="eastAsia"/>
              </w:rPr>
              <w:t>有</w:t>
            </w:r>
            <w:r>
              <w:rPr>
                <w:rFonts w:hint="eastAsia"/>
                <w:lang w:val="en-US" w:eastAsia="zh-CN"/>
              </w:rPr>
              <w:t>基建产业项</w:t>
            </w:r>
            <w:r>
              <w:t>目的后评价</w:t>
            </w:r>
            <w:r>
              <w:rPr>
                <w:rFonts w:hint="eastAsia"/>
                <w:lang w:val="en-US" w:eastAsia="zh-CN"/>
              </w:rPr>
              <w:t>业绩</w:t>
            </w:r>
            <w:r>
              <w:t>，</w:t>
            </w:r>
            <w:r>
              <w:rPr>
                <w:rFonts w:hint="eastAsia"/>
              </w:rPr>
              <w:t>每有一</w:t>
            </w:r>
            <w:r>
              <w:rPr>
                <w:rFonts w:hint="eastAsia"/>
                <w:lang w:eastAsia="zh-CN"/>
              </w:rPr>
              <w:t>项</w:t>
            </w:r>
            <w:r>
              <w:rPr>
                <w:rFonts w:hint="eastAsia"/>
              </w:rPr>
              <w:t>得</w:t>
            </w:r>
            <w:r>
              <w:rPr>
                <w:rFonts w:hint="eastAsia"/>
                <w:lang w:val="en-US" w:eastAsia="zh-CN"/>
              </w:rPr>
              <w:t>2</w:t>
            </w:r>
            <w:r>
              <w:rPr>
                <w:rFonts w:hint="eastAsia"/>
              </w:rPr>
              <w:t>分</w:t>
            </w:r>
            <w:r>
              <w:rPr>
                <w:rFonts w:hint="eastAsia"/>
                <w:lang w:eastAsia="zh-CN"/>
              </w:rPr>
              <w:t>。</w:t>
            </w:r>
            <w:r>
              <w:rPr>
                <w:rFonts w:hint="eastAsia"/>
                <w:b/>
                <w:bCs/>
              </w:rPr>
              <w:t>（本项</w:t>
            </w:r>
            <w:r>
              <w:rPr>
                <w:rFonts w:hint="eastAsia"/>
                <w:b/>
                <w:bCs/>
                <w:lang w:val="en-US" w:eastAsia="zh-CN"/>
              </w:rPr>
              <w:t>最多6分）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jc w:val="center"/>
        </w:trPr>
        <w:tc>
          <w:tcPr>
            <w:tcW w:w="610" w:type="dxa"/>
            <w:vAlign w:val="top"/>
          </w:tcPr>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b/>
                <w:bCs/>
                <w:lang w:val="en-US" w:eastAsia="zh-CN"/>
              </w:rPr>
              <w:t>3</w:t>
            </w:r>
          </w:p>
        </w:tc>
        <w:tc>
          <w:tcPr>
            <w:tcW w:w="770" w:type="dxa"/>
            <w:vAlign w:val="top"/>
          </w:tcPr>
          <w:p>
            <w:pPr>
              <w:widowControl w:val="0"/>
              <w:jc w:val="center"/>
              <w:rPr>
                <w:rFonts w:hint="eastAsia"/>
                <w:b/>
                <w:bCs/>
                <w:lang w:eastAsia="zh-CN"/>
              </w:rPr>
            </w:pPr>
          </w:p>
          <w:p>
            <w:pPr>
              <w:widowControl w:val="0"/>
              <w:jc w:val="center"/>
              <w:rPr>
                <w:rFonts w:hint="eastAsia"/>
                <w:b/>
                <w:bCs/>
                <w:lang w:eastAsia="zh-CN"/>
              </w:rPr>
            </w:pPr>
          </w:p>
          <w:p>
            <w:pPr>
              <w:widowControl w:val="0"/>
              <w:ind w:firstLine="211"/>
              <w:jc w:val="both"/>
              <w:rPr>
                <w:rFonts w:hint="eastAsia"/>
                <w:b/>
                <w:bCs/>
                <w:lang w:eastAsia="zh-CN"/>
              </w:rPr>
            </w:pPr>
          </w:p>
          <w:p>
            <w:pPr>
              <w:widowControl w:val="0"/>
              <w:ind w:firstLine="211"/>
              <w:jc w:val="both"/>
              <w:rPr>
                <w:rFonts w:hint="eastAsia"/>
                <w:b/>
                <w:bCs/>
                <w:lang w:eastAsia="zh-CN"/>
              </w:rPr>
            </w:pPr>
          </w:p>
          <w:p>
            <w:pPr>
              <w:widowControl w:val="0"/>
              <w:ind w:firstLine="211"/>
              <w:jc w:val="both"/>
              <w:rPr>
                <w:rFonts w:hint="eastAsia"/>
                <w:b/>
                <w:bCs/>
                <w:lang w:eastAsia="zh-CN"/>
              </w:rPr>
            </w:pPr>
          </w:p>
          <w:p>
            <w:pPr>
              <w:widowControl w:val="0"/>
              <w:ind w:firstLine="211"/>
              <w:jc w:val="center"/>
              <w:rPr>
                <w:rFonts w:hint="eastAsia"/>
                <w:b/>
                <w:bCs/>
                <w:lang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b/>
                <w:bCs/>
                <w:lang w:eastAsia="zh-CN"/>
              </w:rPr>
              <w:t>项目方案</w:t>
            </w:r>
            <w:r>
              <w:rPr>
                <w:rFonts w:hint="eastAsia"/>
                <w:b/>
                <w:bCs/>
                <w:lang w:val="en-US" w:eastAsia="zh-CN"/>
              </w:rPr>
              <w:t>及人员配置情况</w:t>
            </w:r>
          </w:p>
        </w:tc>
        <w:tc>
          <w:tcPr>
            <w:tcW w:w="1064" w:type="dxa"/>
            <w:vAlign w:val="top"/>
          </w:tcPr>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eastAsia"/>
                <w:b/>
                <w:bCs/>
                <w:lang w:val="en-US"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ascii="Calibri" w:hAnsiTheme="minorHAnsi" w:eastAsiaTheme="minorEastAsia" w:cstheme="minorBidi"/>
                <w:b/>
                <w:bCs/>
                <w:kern w:val="2"/>
                <w:sz w:val="21"/>
                <w:szCs w:val="24"/>
                <w:lang w:val="en-US" w:eastAsia="zh-CN" w:bidi="ar-SA"/>
              </w:rPr>
              <w:t>25</w:t>
            </w:r>
          </w:p>
        </w:tc>
        <w:tc>
          <w:tcPr>
            <w:tcW w:w="6914" w:type="dxa"/>
            <w:vAlign w:val="top"/>
          </w:tcPr>
          <w:p>
            <w:pPr>
              <w:widowControl w:val="0"/>
              <w:jc w:val="both"/>
              <w:rPr>
                <w:rFonts w:hint="eastAsia" w:ascii="Calibri" w:hAnsiTheme="minorHAnsi" w:eastAsiaTheme="minorEastAsia" w:cstheme="minorBidi"/>
                <w:b/>
                <w:bCs/>
                <w:kern w:val="2"/>
                <w:sz w:val="21"/>
                <w:szCs w:val="24"/>
                <w:lang w:val="en-US" w:eastAsia="zh-CN" w:bidi="ar-SA"/>
              </w:rPr>
            </w:pPr>
            <w:r>
              <w:rPr>
                <w:rFonts w:hint="eastAsia" w:ascii="Calibri" w:hAnsiTheme="minorHAnsi" w:eastAsiaTheme="minorEastAsia" w:cstheme="minorBidi"/>
                <w:kern w:val="2"/>
                <w:sz w:val="21"/>
                <w:szCs w:val="24"/>
                <w:lang w:val="en-US" w:eastAsia="zh-CN" w:bidi="ar-SA"/>
              </w:rPr>
              <w:t>1、项目负责人。项目负责人担任过化工企业基建项目竣工决算财务审计项目且为签字注册会计师的，项目总投资在2000万元-1亿元的得1分（该项不超过5分）；1亿元-10亿元项目的得3分；10亿元以上项目的得5分。</w:t>
            </w:r>
            <w:r>
              <w:rPr>
                <w:rFonts w:hint="eastAsia" w:ascii="Calibri" w:hAnsiTheme="minorHAnsi" w:eastAsiaTheme="minorEastAsia" w:cstheme="minorBidi"/>
                <w:b/>
                <w:bCs/>
                <w:kern w:val="2"/>
                <w:sz w:val="21"/>
                <w:szCs w:val="24"/>
                <w:lang w:val="en-US" w:eastAsia="zh-CN" w:bidi="ar-SA"/>
              </w:rPr>
              <w:t>（本项最多得10分）</w:t>
            </w:r>
          </w:p>
          <w:p>
            <w:pPr>
              <w:widowControl w:val="0"/>
              <w:jc w:val="both"/>
              <w:rPr>
                <w:rFonts w:hint="eastAsia" w:ascii="Calibri" w:hAnsiTheme="minorHAnsi" w:eastAsiaTheme="minorEastAsia" w:cstheme="minorBidi"/>
                <w:b/>
                <w:bCs/>
                <w:kern w:val="2"/>
                <w:sz w:val="21"/>
                <w:szCs w:val="24"/>
                <w:lang w:val="en-US" w:eastAsia="zh-CN" w:bidi="ar-SA"/>
              </w:rPr>
            </w:pPr>
            <w:r>
              <w:rPr>
                <w:rFonts w:hint="eastAsia" w:ascii="Calibri" w:hAnsiTheme="minorHAnsi" w:eastAsiaTheme="minorEastAsia" w:cstheme="minorBidi"/>
                <w:kern w:val="2"/>
                <w:sz w:val="21"/>
                <w:szCs w:val="24"/>
                <w:lang w:val="en-US" w:eastAsia="zh-CN" w:bidi="ar-SA"/>
              </w:rPr>
              <w:t>2、项目审计小组人员的专业组合及人员资质。专业人员配备齐全，小组成员涵盖注册会计师（每有一个得1分，最高得4分）、土建专业的一级造价师（每有一个得1分，最高2分）、安装专业的一级造价师（每有一个得1分，最高得2分）、设备工程师（高级工程师每有一个得2分、中级工程师每有一个得1分，最高得2分）、电气或仪表工程师（高级工程师每有一个得2分、中级工程师每有一个得1分，最高得2分）。</w:t>
            </w:r>
            <w:r>
              <w:rPr>
                <w:rFonts w:hint="eastAsia" w:ascii="Calibri" w:hAnsiTheme="minorHAnsi" w:eastAsiaTheme="minorEastAsia" w:cstheme="minorBidi"/>
                <w:b/>
                <w:bCs/>
                <w:kern w:val="2"/>
                <w:sz w:val="21"/>
                <w:szCs w:val="24"/>
                <w:lang w:val="en-US" w:eastAsia="zh-CN" w:bidi="ar-SA"/>
              </w:rPr>
              <w:t>（本项最多得分10分）</w:t>
            </w:r>
          </w:p>
          <w:p>
            <w:pPr>
              <w:widowControl w:val="0"/>
              <w:jc w:val="both"/>
              <w:rPr>
                <w:rFonts w:hint="eastAsia" w:ascii="Calibri" w:hAnsiTheme="minorHAnsi" w:eastAsiaTheme="minorEastAsia" w:cstheme="minorBidi"/>
                <w:kern w:val="2"/>
                <w:sz w:val="21"/>
                <w:szCs w:val="24"/>
                <w:lang w:val="en-US" w:eastAsia="zh-CN" w:bidi="ar-SA"/>
              </w:rPr>
            </w:pPr>
            <w:r>
              <w:rPr>
                <w:rFonts w:hint="eastAsia" w:ascii="Calibri" w:hAnsiTheme="minorHAnsi" w:eastAsiaTheme="minorEastAsia" w:cstheme="minorBidi"/>
                <w:kern w:val="2"/>
                <w:sz w:val="21"/>
                <w:szCs w:val="24"/>
                <w:lang w:val="en-US" w:eastAsia="zh-CN" w:bidi="ar-SA"/>
              </w:rPr>
              <w:t>3、项目整体进度安排。针对本项目具体情况制定方案，附项目组人员</w:t>
            </w:r>
            <w:r>
              <w:rPr>
                <w:rFonts w:hint="eastAsia" w:ascii="Calibri" w:cstheme="minorBidi"/>
                <w:kern w:val="2"/>
                <w:sz w:val="21"/>
                <w:szCs w:val="24"/>
                <w:lang w:val="en-US" w:eastAsia="zh-CN" w:bidi="ar-SA"/>
              </w:rPr>
              <w:t>名单</w:t>
            </w:r>
            <w:r>
              <w:rPr>
                <w:rFonts w:hint="eastAsia" w:ascii="Calibri" w:hAnsiTheme="minorHAnsi" w:eastAsiaTheme="minorEastAsia" w:cstheme="minorBidi"/>
                <w:kern w:val="2"/>
                <w:sz w:val="21"/>
                <w:szCs w:val="24"/>
                <w:lang w:val="en-US" w:eastAsia="zh-CN" w:bidi="ar-SA"/>
              </w:rPr>
              <w:t>，对方案合理性进行评分，对项目方案进行横向比较，能充分考虑企业配合程度对工作进度影响且能较好满足项目报告出具时间要求的得3分；次之得2分，最少得1分。（</w:t>
            </w:r>
            <w:r>
              <w:rPr>
                <w:rFonts w:hint="eastAsia" w:ascii="Calibri" w:hAnsiTheme="minorHAnsi" w:eastAsiaTheme="minorEastAsia" w:cstheme="minorBidi"/>
                <w:b/>
                <w:bCs/>
                <w:kern w:val="2"/>
                <w:sz w:val="21"/>
                <w:szCs w:val="24"/>
                <w:lang w:val="en-US" w:eastAsia="zh-CN" w:bidi="ar-SA"/>
              </w:rPr>
              <w:t>本项最多得3分</w:t>
            </w:r>
            <w:r>
              <w:rPr>
                <w:rFonts w:hint="eastAsia" w:ascii="Calibri" w:hAnsiTheme="minorHAnsi" w:eastAsiaTheme="minorEastAsia" w:cstheme="minorBidi"/>
                <w:kern w:val="2"/>
                <w:sz w:val="21"/>
                <w:szCs w:val="24"/>
                <w:lang w:val="en-US" w:eastAsia="zh-CN" w:bidi="ar-SA"/>
              </w:rPr>
              <w:t>）</w:t>
            </w:r>
          </w:p>
          <w:p>
            <w:pPr>
              <w:widowControl w:val="0"/>
              <w:jc w:val="both"/>
              <w:rPr>
                <w:rFonts w:hint="default"/>
                <w:highlight w:val="yellow"/>
                <w:lang w:val="en-US" w:eastAsia="zh-CN"/>
              </w:rPr>
            </w:pPr>
            <w:r>
              <w:rPr>
                <w:rFonts w:hint="eastAsia" w:ascii="Calibri" w:hAnsiTheme="minorHAnsi" w:eastAsiaTheme="minorEastAsia" w:cstheme="minorBidi"/>
                <w:kern w:val="2"/>
                <w:sz w:val="21"/>
                <w:szCs w:val="24"/>
                <w:lang w:val="en-US" w:eastAsia="zh-CN" w:bidi="ar-SA"/>
              </w:rPr>
              <w:t>4、质量保证措施。根据质量承诺、违反质量承诺的处罚措施情况、疑难问题应对措施等承诺进行综合评价，有实质性质量保证措施或承诺的，得2分；未能提出实质性质量保证或承诺的，得1分或不得分。</w:t>
            </w:r>
            <w:r>
              <w:rPr>
                <w:rFonts w:hint="eastAsia" w:ascii="Calibri" w:hAnsiTheme="minorHAnsi" w:eastAsiaTheme="minorEastAsia" w:cstheme="minorBidi"/>
                <w:b/>
                <w:bCs/>
                <w:kern w:val="2"/>
                <w:sz w:val="21"/>
                <w:szCs w:val="24"/>
                <w:lang w:val="en-US" w:eastAsia="zh-CN" w:bidi="ar-SA"/>
              </w:rPr>
              <w:t>（本项最多得2分）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top"/>
          </w:tcPr>
          <w:p>
            <w:pPr>
              <w:widowControl w:val="0"/>
              <w:jc w:val="center"/>
              <w:rPr>
                <w:rFonts w:hint="eastAsia"/>
                <w:b/>
                <w:bCs/>
                <w:lang w:val="en-US" w:eastAsia="zh-CN"/>
              </w:rPr>
            </w:pPr>
          </w:p>
          <w:p>
            <w:pPr>
              <w:widowControl w:val="0"/>
              <w:jc w:val="center"/>
              <w:rPr>
                <w:rFonts w:hint="eastAsia" w:ascii="Calibri" w:hAnsiTheme="minorHAnsi" w:eastAsiaTheme="minorEastAsia" w:cstheme="minorBidi"/>
                <w:b/>
                <w:bCs/>
                <w:kern w:val="2"/>
                <w:sz w:val="21"/>
                <w:szCs w:val="24"/>
                <w:lang w:val="en-US" w:eastAsia="zh-CN" w:bidi="ar-SA"/>
              </w:rPr>
            </w:pPr>
            <w:r>
              <w:rPr>
                <w:rFonts w:hint="eastAsia"/>
                <w:b/>
                <w:bCs/>
                <w:lang w:val="en-US" w:eastAsia="zh-CN"/>
              </w:rPr>
              <w:t>4</w:t>
            </w:r>
          </w:p>
        </w:tc>
        <w:tc>
          <w:tcPr>
            <w:tcW w:w="770" w:type="dxa"/>
            <w:vAlign w:val="top"/>
          </w:tcPr>
          <w:p>
            <w:pPr>
              <w:widowControl w:val="0"/>
              <w:jc w:val="center"/>
              <w:rPr>
                <w:rFonts w:hint="eastAsia"/>
                <w:b/>
                <w:bCs/>
                <w:lang w:eastAsia="zh-CN"/>
              </w:rPr>
            </w:pPr>
          </w:p>
          <w:p>
            <w:pPr>
              <w:widowControl w:val="0"/>
              <w:jc w:val="center"/>
              <w:rPr>
                <w:rFonts w:hint="eastAsia" w:ascii="Calibri" w:hAnsiTheme="minorHAnsi" w:eastAsiaTheme="minorEastAsia" w:cstheme="minorBidi"/>
                <w:b/>
                <w:bCs/>
                <w:kern w:val="2"/>
                <w:sz w:val="21"/>
                <w:szCs w:val="24"/>
                <w:lang w:val="en-US" w:eastAsia="zh-CN" w:bidi="ar-SA"/>
              </w:rPr>
            </w:pPr>
            <w:r>
              <w:rPr>
                <w:rFonts w:hint="eastAsia" w:ascii="Calibri" w:hAnsiTheme="minorHAnsi" w:eastAsiaTheme="minorEastAsia" w:cstheme="minorBidi"/>
                <w:b/>
                <w:bCs/>
                <w:kern w:val="2"/>
                <w:sz w:val="21"/>
                <w:szCs w:val="24"/>
                <w:lang w:val="en-US" w:eastAsia="zh-CN" w:bidi="ar-SA"/>
              </w:rPr>
              <w:t>商务响应</w:t>
            </w:r>
          </w:p>
        </w:tc>
        <w:tc>
          <w:tcPr>
            <w:tcW w:w="1064" w:type="dxa"/>
            <w:vAlign w:val="top"/>
          </w:tcPr>
          <w:p>
            <w:pPr>
              <w:widowControl w:val="0"/>
              <w:jc w:val="center"/>
              <w:rPr>
                <w:rFonts w:hint="eastAsia"/>
                <w:b/>
                <w:bCs/>
                <w:lang w:val="en-US" w:eastAsia="zh-CN"/>
              </w:rPr>
            </w:pPr>
          </w:p>
          <w:p>
            <w:pPr>
              <w:widowControl w:val="0"/>
              <w:jc w:val="center"/>
              <w:rPr>
                <w:rFonts w:hint="default" w:ascii="Calibri" w:hAnsiTheme="minorHAnsi" w:eastAsiaTheme="minorEastAsia" w:cstheme="minorBidi"/>
                <w:b/>
                <w:bCs/>
                <w:kern w:val="2"/>
                <w:sz w:val="21"/>
                <w:szCs w:val="24"/>
                <w:lang w:val="en-US" w:eastAsia="zh-CN" w:bidi="ar-SA"/>
              </w:rPr>
            </w:pPr>
            <w:r>
              <w:rPr>
                <w:rFonts w:hint="eastAsia"/>
                <w:b/>
                <w:bCs/>
                <w:lang w:val="en-US" w:eastAsia="zh-CN"/>
              </w:rPr>
              <w:t>5</w:t>
            </w:r>
          </w:p>
        </w:tc>
        <w:tc>
          <w:tcPr>
            <w:tcW w:w="6914" w:type="dxa"/>
            <w:vAlign w:val="top"/>
          </w:tcPr>
          <w:p>
            <w:pPr>
              <w:widowControl w:val="0"/>
              <w:jc w:val="both"/>
              <w:rPr>
                <w:rFonts w:hint="default" w:ascii="Calibri" w:hAnsiTheme="minorHAnsi" w:eastAsiaTheme="minorEastAsia" w:cstheme="minorBidi"/>
                <w:kern w:val="2"/>
                <w:sz w:val="21"/>
                <w:szCs w:val="24"/>
                <w:lang w:val="en-US" w:eastAsia="zh-CN" w:bidi="ar-SA"/>
              </w:rPr>
            </w:pPr>
            <w:r>
              <w:rPr>
                <w:rFonts w:hint="eastAsia" w:ascii="Calibri" w:hAnsiTheme="minorHAnsi" w:eastAsiaTheme="minorEastAsia" w:cstheme="minorBidi"/>
                <w:kern w:val="2"/>
                <w:sz w:val="21"/>
                <w:szCs w:val="24"/>
                <w:lang w:val="en-US" w:eastAsia="zh-CN" w:bidi="ar-SA"/>
              </w:rPr>
              <w:t>根据投标人针对本标书内容的响应程度及投标文件的质量进行横向比较，响应程度较好的得3-5分，有偏离的得1分或不得分。</w:t>
            </w:r>
            <w:r>
              <w:rPr>
                <w:rFonts w:hint="eastAsia" w:ascii="Calibri" w:hAnsiTheme="minorHAnsi" w:eastAsiaTheme="minorEastAsia" w:cstheme="minorBidi"/>
                <w:b/>
                <w:bCs/>
                <w:kern w:val="2"/>
                <w:sz w:val="21"/>
                <w:szCs w:val="24"/>
                <w:lang w:val="en-US" w:eastAsia="zh-CN" w:bidi="ar-SA"/>
              </w:rPr>
              <w:t>（本项最多得5分）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10" w:type="dxa"/>
            <w:vAlign w:val="top"/>
          </w:tcPr>
          <w:p>
            <w:pPr>
              <w:widowControl w:val="0"/>
              <w:jc w:val="center"/>
              <w:rPr>
                <w:rFonts w:hint="eastAsia"/>
                <w:b/>
                <w:bCs/>
                <w:lang w:eastAsia="zh-CN"/>
              </w:rPr>
            </w:pPr>
          </w:p>
          <w:p>
            <w:pPr>
              <w:widowControl w:val="0"/>
              <w:jc w:val="center"/>
              <w:rPr>
                <w:rFonts w:hint="eastAsia" w:ascii="Calibri" w:hAnsiTheme="minorHAnsi" w:eastAsiaTheme="minorEastAsia" w:cstheme="minorBidi"/>
                <w:b/>
                <w:bCs/>
                <w:kern w:val="2"/>
                <w:sz w:val="21"/>
                <w:szCs w:val="24"/>
                <w:lang w:val="en-US" w:eastAsia="zh-CN" w:bidi="ar-SA"/>
              </w:rPr>
            </w:pPr>
          </w:p>
        </w:tc>
        <w:tc>
          <w:tcPr>
            <w:tcW w:w="770" w:type="dxa"/>
            <w:vAlign w:val="top"/>
          </w:tcPr>
          <w:p>
            <w:pPr>
              <w:widowControl w:val="0"/>
              <w:jc w:val="center"/>
              <w:rPr>
                <w:rFonts w:hint="eastAsia"/>
                <w:b/>
                <w:bCs/>
                <w:lang w:eastAsia="zh-CN"/>
              </w:rPr>
            </w:pPr>
          </w:p>
          <w:p>
            <w:pPr>
              <w:widowControl w:val="0"/>
              <w:jc w:val="center"/>
              <w:rPr>
                <w:rFonts w:hint="eastAsia" w:ascii="Calibri" w:hAnsiTheme="minorHAnsi" w:eastAsiaTheme="minorEastAsia" w:cstheme="minorBidi"/>
                <w:b/>
                <w:bCs/>
                <w:kern w:val="2"/>
                <w:sz w:val="21"/>
                <w:szCs w:val="24"/>
                <w:lang w:val="en-US" w:eastAsia="zh-CN" w:bidi="ar-SA"/>
              </w:rPr>
            </w:pPr>
            <w:r>
              <w:rPr>
                <w:rFonts w:hint="eastAsia"/>
                <w:b/>
                <w:bCs/>
                <w:lang w:eastAsia="zh-CN"/>
              </w:rPr>
              <w:t>总分</w:t>
            </w:r>
          </w:p>
        </w:tc>
        <w:tc>
          <w:tcPr>
            <w:tcW w:w="1064" w:type="dxa"/>
            <w:vAlign w:val="top"/>
          </w:tcPr>
          <w:p>
            <w:pPr>
              <w:widowControl w:val="0"/>
              <w:jc w:val="center"/>
              <w:rPr>
                <w:rFonts w:hint="eastAsia"/>
                <w:b/>
                <w:bCs/>
                <w:lang w:val="en-US" w:eastAsia="zh-CN"/>
              </w:rPr>
            </w:pPr>
          </w:p>
          <w:p>
            <w:pPr>
              <w:widowControl w:val="0"/>
              <w:jc w:val="center"/>
              <w:rPr>
                <w:rFonts w:hint="eastAsia" w:ascii="Calibri" w:hAnsiTheme="minorHAnsi" w:eastAsiaTheme="minorEastAsia" w:cstheme="minorBidi"/>
                <w:b/>
                <w:bCs/>
                <w:kern w:val="2"/>
                <w:sz w:val="21"/>
                <w:szCs w:val="24"/>
                <w:lang w:val="en-US" w:eastAsia="zh-CN" w:bidi="ar-SA"/>
              </w:rPr>
            </w:pPr>
            <w:r>
              <w:rPr>
                <w:rFonts w:hint="eastAsia"/>
                <w:b/>
                <w:bCs/>
                <w:lang w:val="en-US" w:eastAsia="zh-CN"/>
              </w:rPr>
              <w:t>100</w:t>
            </w:r>
          </w:p>
        </w:tc>
        <w:tc>
          <w:tcPr>
            <w:tcW w:w="6914" w:type="dxa"/>
            <w:vAlign w:val="top"/>
          </w:tcPr>
          <w:p>
            <w:pPr>
              <w:widowControl w:val="0"/>
              <w:jc w:val="both"/>
              <w:rPr>
                <w:rFonts w:hint="eastAsia" w:eastAsia="宋体"/>
                <w:lang w:val="en-US" w:eastAsia="zh-CN"/>
              </w:rPr>
            </w:pPr>
            <w:r>
              <w:rPr>
                <w:rFonts w:hint="eastAsia" w:ascii="Calibri" w:hAnsiTheme="minorHAnsi" w:eastAsiaTheme="minorEastAsia" w:cstheme="minorBidi"/>
                <w:kern w:val="2"/>
                <w:sz w:val="21"/>
                <w:szCs w:val="24"/>
                <w:lang w:val="en-US" w:eastAsia="zh-CN" w:bidi="ar-SA"/>
              </w:rPr>
              <w:t>最终得分相等的，报价较低者中标。</w:t>
            </w:r>
          </w:p>
        </w:tc>
      </w:tr>
    </w:tbl>
    <w:p>
      <w:pPr>
        <w:pStyle w:val="5"/>
        <w:rPr>
          <w:rFonts w:hint="eastAsia" w:ascii="仿宋_GB2312" w:hAnsi="宋体" w:eastAsia="仿宋_GB2312" w:cs="‹ÎSå"/>
          <w:color w:val="auto"/>
          <w:kern w:val="1"/>
          <w:sz w:val="30"/>
          <w:szCs w:val="30"/>
          <w:lang w:val="en-US" w:eastAsia="zh-CN"/>
        </w:rPr>
      </w:pPr>
    </w:p>
    <w:p>
      <w:pPr>
        <w:pStyle w:val="5"/>
        <w:rPr>
          <w:rFonts w:hint="default"/>
          <w:lang w:val="en-US" w:eastAsia="zh-CN"/>
        </w:rPr>
      </w:pPr>
      <w:r>
        <w:rPr>
          <w:rFonts w:hint="eastAsia" w:ascii="仿宋_GB2312" w:hAnsi="宋体" w:eastAsia="仿宋_GB2312" w:cs="‹ÎSå"/>
          <w:color w:val="auto"/>
          <w:kern w:val="1"/>
          <w:sz w:val="30"/>
          <w:szCs w:val="30"/>
          <w:lang w:val="en-US" w:eastAsia="zh-CN"/>
        </w:rPr>
        <w:t xml:space="preserve">    注：本细则所涉及的公司经验业绩及负责人经验业绩请编制清单列示，并提供相关佐证材料。</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3、评标小组不得泄露各投标人的报价。                                    </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600" w:lineRule="exact"/>
        <w:ind w:right="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auto"/>
          <w:kern w:val="1"/>
          <w:sz w:val="30"/>
          <w:szCs w:val="30"/>
          <w:lang w:val="en-US" w:eastAsia="zh-CN"/>
        </w:rPr>
        <w:t xml:space="preserve"> 2、</w:t>
      </w:r>
      <w:r>
        <w:rPr>
          <w:rFonts w:hint="eastAsia" w:ascii="仿宋" w:hAnsi="仿宋" w:eastAsia="仿宋" w:cs="仿宋"/>
          <w:bCs/>
          <w:color w:val="auto"/>
          <w:kern w:val="1"/>
          <w:sz w:val="30"/>
          <w:szCs w:val="30"/>
        </w:rPr>
        <w:t>投标人应</w:t>
      </w:r>
      <w:r>
        <w:rPr>
          <w:rFonts w:hint="eastAsia" w:ascii="仿宋" w:hAnsi="仿宋" w:eastAsia="仿宋" w:cs="仿宋"/>
          <w:bCs/>
          <w:color w:val="auto"/>
          <w:kern w:val="1"/>
          <w:sz w:val="30"/>
          <w:szCs w:val="30"/>
          <w:lang w:eastAsia="zh-CN"/>
        </w:rPr>
        <w:t>如实</w:t>
      </w:r>
      <w:r>
        <w:rPr>
          <w:rFonts w:hint="eastAsia" w:ascii="仿宋" w:hAnsi="仿宋" w:eastAsia="仿宋" w:cs="仿宋"/>
          <w:bCs/>
          <w:color w:val="auto"/>
          <w:kern w:val="1"/>
          <w:sz w:val="30"/>
          <w:szCs w:val="30"/>
        </w:rPr>
        <w:t>提供</w:t>
      </w:r>
      <w:r>
        <w:rPr>
          <w:rFonts w:hint="eastAsia" w:ascii="仿宋" w:hAnsi="仿宋" w:eastAsia="仿宋" w:cs="仿宋"/>
          <w:bCs/>
          <w:color w:val="auto"/>
          <w:kern w:val="1"/>
          <w:sz w:val="30"/>
          <w:szCs w:val="30"/>
          <w:lang w:eastAsia="zh-CN"/>
        </w:rPr>
        <w:t>符合市场规律和自身成本的合理报价</w:t>
      </w:r>
      <w:r>
        <w:rPr>
          <w:rFonts w:hint="eastAsia" w:ascii="仿宋" w:hAnsi="仿宋" w:eastAsia="仿宋" w:cs="仿宋"/>
          <w:bCs/>
          <w:color w:val="auto"/>
          <w:kern w:val="1"/>
          <w:sz w:val="30"/>
          <w:szCs w:val="30"/>
        </w:rPr>
        <w:t>。如果投标人的报价与市场价格明显偏离</w:t>
      </w:r>
      <w:r>
        <w:rPr>
          <w:rFonts w:hint="eastAsia" w:ascii="仿宋" w:hAnsi="仿宋" w:eastAsia="仿宋" w:cs="仿宋"/>
          <w:bCs/>
          <w:color w:val="auto"/>
          <w:kern w:val="1"/>
          <w:sz w:val="30"/>
          <w:szCs w:val="30"/>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rPr>
        <w:t>。</w:t>
      </w:r>
    </w:p>
    <w:p>
      <w:pPr>
        <w:keepNext w:val="0"/>
        <w:keepLines w:val="0"/>
        <w:pageBreakBefore w:val="0"/>
        <w:widowControl w:val="0"/>
        <w:numPr>
          <w:ilvl w:val="0"/>
          <w:numId w:val="5"/>
        </w:numPr>
        <w:kinsoku/>
        <w:overflowPunct/>
        <w:topLinePunct w:val="0"/>
        <w:autoSpaceDE/>
        <w:autoSpaceDN/>
        <w:bidi w:val="0"/>
        <w:adjustRightInd w:val="0"/>
        <w:snapToGrid w:val="0"/>
        <w:spacing w:line="600" w:lineRule="exact"/>
        <w:ind w:right="0" w:firstLine="602"/>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jc w:val="left"/>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（一）违约责任：</w:t>
      </w:r>
    </w:p>
    <w:p>
      <w:pPr>
        <w:adjustRightInd w:val="0"/>
        <w:snapToGrid w:val="0"/>
        <w:spacing w:line="600" w:lineRule="exact"/>
        <w:ind w:firstLine="600"/>
        <w:jc w:val="left"/>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1.如</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rPr>
        <w:t>没有按照规定的时间</w:t>
      </w:r>
      <w:r>
        <w:rPr>
          <w:rFonts w:hint="eastAsia" w:ascii="仿宋" w:hAnsi="仿宋" w:eastAsia="仿宋" w:cs="仿宋"/>
          <w:bCs/>
          <w:color w:val="auto"/>
          <w:kern w:val="1"/>
          <w:sz w:val="30"/>
          <w:szCs w:val="30"/>
          <w:highlight w:val="yellow"/>
          <w:lang w:val="en-US" w:eastAsia="zh-CN"/>
        </w:rPr>
        <w:t>提交符合要求的相关报告</w:t>
      </w:r>
      <w:r>
        <w:rPr>
          <w:rFonts w:hint="eastAsia" w:ascii="仿宋" w:hAnsi="仿宋" w:eastAsia="仿宋" w:cs="仿宋"/>
          <w:bCs/>
          <w:color w:val="auto"/>
          <w:kern w:val="1"/>
          <w:sz w:val="30"/>
          <w:szCs w:val="30"/>
          <w:highlight w:val="yellow"/>
        </w:rPr>
        <w:t>或提供服务，</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lang w:eastAsia="zh-CN"/>
        </w:rPr>
        <w:t>须</w:t>
      </w:r>
      <w:r>
        <w:rPr>
          <w:rFonts w:hint="eastAsia" w:ascii="仿宋" w:hAnsi="仿宋" w:eastAsia="仿宋" w:cs="仿宋"/>
          <w:bCs/>
          <w:color w:val="auto"/>
          <w:kern w:val="1"/>
          <w:sz w:val="30"/>
          <w:szCs w:val="30"/>
          <w:highlight w:val="yellow"/>
        </w:rPr>
        <w:t>支付违约金，违约金从</w:t>
      </w:r>
      <w:r>
        <w:rPr>
          <w:rFonts w:hint="eastAsia" w:ascii="仿宋" w:hAnsi="仿宋" w:eastAsia="仿宋" w:cs="仿宋"/>
          <w:bCs/>
          <w:color w:val="auto"/>
          <w:kern w:val="1"/>
          <w:sz w:val="30"/>
          <w:szCs w:val="30"/>
          <w:highlight w:val="yellow"/>
          <w:lang w:val="en-US" w:eastAsia="zh-CN"/>
        </w:rPr>
        <w:t>合同总金额</w:t>
      </w:r>
      <w:r>
        <w:rPr>
          <w:rFonts w:hint="eastAsia" w:ascii="仿宋" w:hAnsi="仿宋" w:eastAsia="仿宋" w:cs="仿宋"/>
          <w:bCs/>
          <w:color w:val="auto"/>
          <w:kern w:val="1"/>
          <w:sz w:val="30"/>
          <w:szCs w:val="30"/>
          <w:highlight w:val="yellow"/>
        </w:rPr>
        <w:t>中扣除，迟交</w:t>
      </w:r>
      <w:r>
        <w:rPr>
          <w:rFonts w:hint="eastAsia" w:ascii="仿宋" w:hAnsi="仿宋" w:eastAsia="仿宋" w:cs="仿宋"/>
          <w:bCs/>
          <w:color w:val="auto"/>
          <w:kern w:val="1"/>
          <w:sz w:val="30"/>
          <w:szCs w:val="30"/>
          <w:highlight w:val="yellow"/>
          <w:lang w:val="en-US" w:eastAsia="zh-CN"/>
        </w:rPr>
        <w:t>报告</w:t>
      </w:r>
      <w:r>
        <w:rPr>
          <w:rFonts w:hint="eastAsia" w:ascii="仿宋" w:hAnsi="仿宋" w:eastAsia="仿宋" w:cs="仿宋"/>
          <w:bCs/>
          <w:color w:val="auto"/>
          <w:kern w:val="1"/>
          <w:sz w:val="30"/>
          <w:szCs w:val="30"/>
          <w:highlight w:val="yellow"/>
        </w:rPr>
        <w:t>或未提供服务的违约金逾期每日按合同总金额的1%计收。迟交</w:t>
      </w:r>
      <w:r>
        <w:rPr>
          <w:rFonts w:hint="eastAsia" w:ascii="仿宋" w:hAnsi="仿宋" w:eastAsia="仿宋" w:cs="仿宋"/>
          <w:bCs/>
          <w:color w:val="auto"/>
          <w:kern w:val="1"/>
          <w:sz w:val="30"/>
          <w:szCs w:val="30"/>
          <w:highlight w:val="yellow"/>
          <w:lang w:val="en-US" w:eastAsia="zh-CN"/>
        </w:rPr>
        <w:t>报告</w:t>
      </w:r>
      <w:r>
        <w:rPr>
          <w:rFonts w:hint="eastAsia" w:ascii="仿宋" w:hAnsi="仿宋" w:eastAsia="仿宋" w:cs="仿宋"/>
          <w:bCs/>
          <w:color w:val="auto"/>
          <w:kern w:val="1"/>
          <w:sz w:val="30"/>
          <w:szCs w:val="30"/>
          <w:highlight w:val="yellow"/>
        </w:rPr>
        <w:t>或未提供服务超过20日，</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有权解除合同</w:t>
      </w:r>
      <w:r>
        <w:rPr>
          <w:rFonts w:hint="eastAsia" w:ascii="仿宋" w:hAnsi="仿宋" w:eastAsia="仿宋" w:cs="仿宋"/>
          <w:bCs/>
          <w:color w:val="auto"/>
          <w:kern w:val="1"/>
          <w:sz w:val="30"/>
          <w:szCs w:val="30"/>
          <w:highlight w:val="yellow"/>
          <w:lang w:eastAsia="zh-CN"/>
        </w:rPr>
        <w:t>，</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lang w:eastAsia="zh-CN"/>
        </w:rPr>
        <w:t>可要求</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lang w:eastAsia="zh-CN"/>
        </w:rPr>
        <w:t>于</w:t>
      </w:r>
      <w:r>
        <w:rPr>
          <w:rFonts w:hint="eastAsia" w:ascii="仿宋" w:hAnsi="仿宋" w:eastAsia="仿宋" w:cs="仿宋"/>
          <w:bCs/>
          <w:color w:val="auto"/>
          <w:kern w:val="1"/>
          <w:sz w:val="30"/>
          <w:szCs w:val="30"/>
          <w:highlight w:val="yellow"/>
        </w:rPr>
        <w:t>五个工作日内返还</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合同</w:t>
      </w:r>
      <w:r>
        <w:rPr>
          <w:rFonts w:hint="eastAsia" w:ascii="仿宋" w:hAnsi="仿宋" w:eastAsia="仿宋" w:cs="仿宋"/>
          <w:bCs/>
          <w:color w:val="auto"/>
          <w:kern w:val="1"/>
          <w:sz w:val="30"/>
          <w:szCs w:val="30"/>
          <w:highlight w:val="yellow"/>
          <w:lang w:val="en-US" w:eastAsia="zh-CN"/>
        </w:rPr>
        <w:t>价</w:t>
      </w:r>
      <w:r>
        <w:rPr>
          <w:rFonts w:hint="eastAsia" w:ascii="仿宋" w:hAnsi="仿宋" w:eastAsia="仿宋" w:cs="仿宋"/>
          <w:bCs/>
          <w:color w:val="auto"/>
          <w:kern w:val="1"/>
          <w:sz w:val="30"/>
          <w:szCs w:val="30"/>
          <w:highlight w:val="yellow"/>
        </w:rPr>
        <w:t>款并按合同总额</w:t>
      </w:r>
      <w:r>
        <w:rPr>
          <w:rFonts w:hint="eastAsia" w:ascii="仿宋" w:hAnsi="仿宋" w:eastAsia="仿宋" w:cs="仿宋"/>
          <w:bCs/>
          <w:color w:val="auto"/>
          <w:kern w:val="1"/>
          <w:sz w:val="30"/>
          <w:szCs w:val="30"/>
          <w:highlight w:val="yellow"/>
          <w:lang w:eastAsia="zh-CN"/>
        </w:rPr>
        <w:t>的</w:t>
      </w:r>
      <w:r>
        <w:rPr>
          <w:rFonts w:hint="eastAsia" w:ascii="仿宋" w:hAnsi="仿宋" w:eastAsia="仿宋" w:cs="仿宋"/>
          <w:bCs/>
          <w:color w:val="auto"/>
          <w:kern w:val="1"/>
          <w:sz w:val="30"/>
          <w:szCs w:val="30"/>
          <w:highlight w:val="yellow"/>
        </w:rPr>
        <w:t>20%</w:t>
      </w:r>
      <w:r>
        <w:rPr>
          <w:rFonts w:hint="eastAsia" w:ascii="仿宋" w:hAnsi="仿宋" w:eastAsia="仿宋" w:cs="仿宋"/>
          <w:bCs/>
          <w:color w:val="auto"/>
          <w:kern w:val="1"/>
          <w:sz w:val="30"/>
          <w:szCs w:val="30"/>
          <w:highlight w:val="yellow"/>
          <w:lang w:eastAsia="zh-CN"/>
        </w:rPr>
        <w:t>承担</w:t>
      </w:r>
      <w:r>
        <w:rPr>
          <w:rFonts w:hint="eastAsia" w:ascii="仿宋" w:hAnsi="仿宋" w:eastAsia="仿宋" w:cs="仿宋"/>
          <w:bCs/>
          <w:color w:val="auto"/>
          <w:kern w:val="1"/>
          <w:sz w:val="30"/>
          <w:szCs w:val="30"/>
          <w:highlight w:val="yellow"/>
        </w:rPr>
        <w:t>违约责任。</w:t>
      </w:r>
    </w:p>
    <w:p>
      <w:pPr>
        <w:adjustRightInd w:val="0"/>
        <w:snapToGrid w:val="0"/>
        <w:spacing w:line="600" w:lineRule="exact"/>
        <w:ind w:firstLine="600"/>
        <w:jc w:val="left"/>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2.</w:t>
      </w:r>
      <w:r>
        <w:rPr>
          <w:rFonts w:hint="eastAsia" w:ascii="仿宋" w:hAnsi="仿宋" w:eastAsia="仿宋" w:cs="仿宋"/>
          <w:bCs/>
          <w:color w:val="auto"/>
          <w:kern w:val="1"/>
          <w:sz w:val="30"/>
          <w:szCs w:val="30"/>
          <w:highlight w:val="yellow"/>
          <w:lang w:val="en-US" w:eastAsia="zh-CN"/>
        </w:rPr>
        <w:t>中标人提交报告后，经招标人确认不符合要求的</w:t>
      </w:r>
      <w:r>
        <w:rPr>
          <w:rFonts w:hint="eastAsia" w:ascii="仿宋" w:hAnsi="仿宋" w:eastAsia="仿宋" w:cs="仿宋"/>
          <w:bCs/>
          <w:color w:val="auto"/>
          <w:kern w:val="1"/>
          <w:sz w:val="30"/>
          <w:szCs w:val="30"/>
          <w:highlight w:val="yellow"/>
        </w:rPr>
        <w:t>，</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可选择以下处理方式：</w:t>
      </w:r>
    </w:p>
    <w:p>
      <w:pPr>
        <w:adjustRightInd w:val="0"/>
        <w:snapToGrid w:val="0"/>
        <w:spacing w:line="600" w:lineRule="exact"/>
        <w:ind w:firstLine="600"/>
        <w:jc w:val="left"/>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（1</w:t>
      </w:r>
      <w:r>
        <w:rPr>
          <w:rFonts w:hint="eastAsia" w:ascii="仿宋" w:hAnsi="仿宋" w:eastAsia="仿宋" w:cs="仿宋"/>
          <w:bCs/>
          <w:color w:val="auto"/>
          <w:kern w:val="1"/>
          <w:sz w:val="30"/>
          <w:szCs w:val="30"/>
          <w:highlight w:val="yellow"/>
          <w:lang w:val="en-US" w:eastAsia="zh-CN"/>
        </w:rPr>
        <w:t>）中标人提供的相关报告不符合招标人要求的，重新按要求提供报告所产生的费用由招标人承担。经招标人同意中标人调整报告的，需在招标人第一次通知不合格之</w:t>
      </w:r>
      <w:r>
        <w:rPr>
          <w:rFonts w:hint="eastAsia" w:ascii="仿宋" w:hAnsi="仿宋" w:eastAsia="仿宋" w:cs="仿宋"/>
          <w:bCs/>
          <w:color w:val="auto"/>
          <w:kern w:val="1"/>
          <w:sz w:val="30"/>
          <w:szCs w:val="30"/>
          <w:highlight w:val="yellow"/>
        </w:rPr>
        <w:t>日起30日内</w:t>
      </w:r>
      <w:r>
        <w:rPr>
          <w:rFonts w:hint="eastAsia" w:ascii="仿宋" w:hAnsi="仿宋" w:eastAsia="仿宋" w:cs="仿宋"/>
          <w:bCs/>
          <w:color w:val="auto"/>
          <w:kern w:val="1"/>
          <w:sz w:val="30"/>
          <w:szCs w:val="30"/>
          <w:highlight w:val="yellow"/>
          <w:lang w:val="en-US" w:eastAsia="zh-CN"/>
        </w:rPr>
        <w:t>再次提供报告</w:t>
      </w:r>
      <w:r>
        <w:rPr>
          <w:rFonts w:hint="eastAsia" w:ascii="仿宋" w:hAnsi="仿宋" w:eastAsia="仿宋" w:cs="仿宋"/>
          <w:bCs/>
          <w:color w:val="auto"/>
          <w:kern w:val="1"/>
          <w:sz w:val="30"/>
          <w:szCs w:val="30"/>
          <w:highlight w:val="yellow"/>
        </w:rPr>
        <w:t>，逾期的，违约责任参照第1款执行。如果出现两次</w:t>
      </w:r>
      <w:r>
        <w:rPr>
          <w:rFonts w:hint="eastAsia" w:ascii="仿宋" w:hAnsi="仿宋" w:eastAsia="仿宋" w:cs="仿宋"/>
          <w:bCs/>
          <w:color w:val="auto"/>
          <w:kern w:val="1"/>
          <w:sz w:val="30"/>
          <w:szCs w:val="30"/>
          <w:highlight w:val="yellow"/>
          <w:lang w:val="en-US" w:eastAsia="zh-CN"/>
        </w:rPr>
        <w:t>报告</w:t>
      </w:r>
      <w:r>
        <w:rPr>
          <w:rFonts w:hint="eastAsia" w:ascii="仿宋" w:hAnsi="仿宋" w:eastAsia="仿宋" w:cs="仿宋"/>
          <w:bCs/>
          <w:color w:val="auto"/>
          <w:kern w:val="1"/>
          <w:sz w:val="30"/>
          <w:szCs w:val="30"/>
          <w:highlight w:val="yellow"/>
        </w:rPr>
        <w:t>不合格的情况，</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有权解除合同，</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rPr>
        <w:t>需在</w:t>
      </w:r>
      <w:r>
        <w:rPr>
          <w:rFonts w:hint="eastAsia" w:ascii="仿宋" w:hAnsi="仿宋" w:eastAsia="仿宋" w:cs="仿宋"/>
          <w:bCs/>
          <w:color w:val="auto"/>
          <w:kern w:val="1"/>
          <w:sz w:val="30"/>
          <w:szCs w:val="30"/>
          <w:highlight w:val="yellow"/>
          <w:lang w:val="en-US" w:eastAsia="zh-CN"/>
        </w:rPr>
        <w:t>验收</w:t>
      </w:r>
      <w:r>
        <w:rPr>
          <w:rFonts w:hint="eastAsia" w:ascii="仿宋" w:hAnsi="仿宋" w:eastAsia="仿宋" w:cs="仿宋"/>
          <w:bCs/>
          <w:color w:val="auto"/>
          <w:kern w:val="1"/>
          <w:sz w:val="30"/>
          <w:szCs w:val="30"/>
          <w:highlight w:val="yellow"/>
        </w:rPr>
        <w:t>不合格之日起五个工作日内返还</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合同款，并赔偿合同总</w:t>
      </w:r>
      <w:r>
        <w:rPr>
          <w:rFonts w:hint="eastAsia" w:ascii="仿宋" w:hAnsi="仿宋" w:eastAsia="仿宋" w:cs="仿宋"/>
          <w:bCs/>
          <w:color w:val="auto"/>
          <w:kern w:val="1"/>
          <w:sz w:val="30"/>
          <w:szCs w:val="30"/>
          <w:highlight w:val="yellow"/>
          <w:lang w:val="en-US" w:eastAsia="zh-CN"/>
        </w:rPr>
        <w:t>价</w:t>
      </w:r>
      <w:r>
        <w:rPr>
          <w:rFonts w:hint="eastAsia" w:ascii="仿宋" w:hAnsi="仿宋" w:eastAsia="仿宋" w:cs="仿宋"/>
          <w:bCs/>
          <w:color w:val="auto"/>
          <w:kern w:val="1"/>
          <w:sz w:val="30"/>
          <w:szCs w:val="30"/>
          <w:highlight w:val="yellow"/>
        </w:rPr>
        <w:t>款的20%违约金给</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w:t>
      </w:r>
    </w:p>
    <w:p>
      <w:pPr>
        <w:adjustRightInd w:val="0"/>
        <w:snapToGrid w:val="0"/>
        <w:spacing w:line="600" w:lineRule="exact"/>
        <w:ind w:firstLine="600"/>
        <w:jc w:val="left"/>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（2）</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选择解除合同的，</w:t>
      </w:r>
      <w:r>
        <w:rPr>
          <w:rFonts w:hint="eastAsia" w:ascii="仿宋" w:hAnsi="仿宋" w:eastAsia="仿宋" w:cs="仿宋"/>
          <w:bCs/>
          <w:color w:val="auto"/>
          <w:kern w:val="1"/>
          <w:sz w:val="30"/>
          <w:szCs w:val="30"/>
          <w:highlight w:val="yellow"/>
          <w:lang w:val="en-US" w:eastAsia="zh-CN"/>
        </w:rPr>
        <w:t>提供服务期间</w:t>
      </w:r>
      <w:r>
        <w:rPr>
          <w:rFonts w:hint="eastAsia" w:ascii="仿宋" w:hAnsi="仿宋" w:eastAsia="仿宋" w:cs="仿宋"/>
          <w:bCs/>
          <w:color w:val="auto"/>
          <w:kern w:val="1"/>
          <w:sz w:val="30"/>
          <w:szCs w:val="30"/>
          <w:highlight w:val="yellow"/>
        </w:rPr>
        <w:t>所产生的费用由</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rPr>
        <w:t>承担。</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rPr>
        <w:t>需在</w:t>
      </w:r>
      <w:r>
        <w:rPr>
          <w:rFonts w:hint="eastAsia" w:ascii="仿宋" w:hAnsi="仿宋" w:eastAsia="仿宋" w:cs="仿宋"/>
          <w:bCs/>
          <w:color w:val="auto"/>
          <w:kern w:val="1"/>
          <w:sz w:val="30"/>
          <w:szCs w:val="30"/>
          <w:highlight w:val="yellow"/>
          <w:lang w:val="en-US" w:eastAsia="zh-CN"/>
        </w:rPr>
        <w:t>确认报告</w:t>
      </w:r>
      <w:r>
        <w:rPr>
          <w:rFonts w:hint="eastAsia" w:ascii="仿宋" w:hAnsi="仿宋" w:eastAsia="仿宋" w:cs="仿宋"/>
          <w:bCs/>
          <w:color w:val="auto"/>
          <w:kern w:val="1"/>
          <w:sz w:val="30"/>
          <w:szCs w:val="30"/>
          <w:highlight w:val="yellow"/>
        </w:rPr>
        <w:t>不合格之日起五个工作日内返还</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合同货款，并赔偿合同总货款的20%违约金给</w:t>
      </w:r>
      <w:r>
        <w:rPr>
          <w:rFonts w:hint="eastAsia" w:ascii="仿宋" w:hAnsi="仿宋" w:eastAsia="仿宋" w:cs="仿宋"/>
          <w:bCs/>
          <w:color w:val="auto"/>
          <w:kern w:val="1"/>
          <w:sz w:val="30"/>
          <w:szCs w:val="30"/>
          <w:highlight w:val="yellow"/>
          <w:lang w:val="en-US" w:eastAsia="zh-CN"/>
        </w:rPr>
        <w:t>招标人</w:t>
      </w:r>
      <w:r>
        <w:rPr>
          <w:rFonts w:hint="eastAsia" w:ascii="仿宋" w:hAnsi="仿宋" w:eastAsia="仿宋" w:cs="仿宋"/>
          <w:bCs/>
          <w:color w:val="auto"/>
          <w:kern w:val="1"/>
          <w:sz w:val="30"/>
          <w:szCs w:val="30"/>
          <w:highlight w:val="yellow"/>
        </w:rPr>
        <w:t>。</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rPr>
        <w:t>（</w:t>
      </w:r>
      <w:r>
        <w:rPr>
          <w:rFonts w:hint="eastAsia" w:ascii="仿宋" w:hAnsi="仿宋" w:eastAsia="仿宋" w:cs="仿宋"/>
          <w:bCs/>
          <w:color w:val="auto"/>
          <w:kern w:val="1"/>
          <w:sz w:val="30"/>
          <w:szCs w:val="30"/>
          <w:highlight w:val="yellow"/>
          <w:lang w:eastAsia="zh-CN"/>
        </w:rPr>
        <w:t>二</w:t>
      </w:r>
      <w:r>
        <w:rPr>
          <w:rFonts w:hint="eastAsia" w:ascii="仿宋" w:hAnsi="仿宋" w:eastAsia="仿宋" w:cs="仿宋"/>
          <w:bCs/>
          <w:color w:val="auto"/>
          <w:kern w:val="1"/>
          <w:sz w:val="30"/>
          <w:szCs w:val="30"/>
          <w:highlight w:val="yellow"/>
        </w:rPr>
        <w:t>）中标人中标以后应严格按照标书约定与招标方</w:t>
      </w:r>
      <w:r>
        <w:rPr>
          <w:rFonts w:hint="eastAsia" w:ascii="仿宋" w:hAnsi="仿宋" w:eastAsia="仿宋" w:cs="仿宋"/>
          <w:bCs/>
          <w:color w:val="auto"/>
          <w:kern w:val="1"/>
          <w:sz w:val="30"/>
          <w:szCs w:val="30"/>
          <w:highlight w:val="yellow"/>
          <w:lang w:eastAsia="zh-CN"/>
        </w:rPr>
        <w:t>签订</w:t>
      </w:r>
      <w:r>
        <w:rPr>
          <w:rFonts w:hint="eastAsia" w:ascii="仿宋" w:hAnsi="仿宋" w:eastAsia="仿宋" w:cs="仿宋"/>
          <w:bCs/>
          <w:color w:val="auto"/>
          <w:kern w:val="1"/>
          <w:sz w:val="30"/>
          <w:szCs w:val="30"/>
          <w:highlight w:val="yellow"/>
        </w:rPr>
        <w:t>供需合同，并按合同约定做好服务工作。对中标人所有违背标书及合同约定的行为，招标人均可持续保留与中标方中止合作的一切权利。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Cs/>
          <w:color w:val="auto"/>
          <w:kern w:val="1"/>
          <w:sz w:val="30"/>
          <w:szCs w:val="30"/>
          <w:highlight w:val="yellow"/>
        </w:rPr>
      </w:pPr>
      <w:r>
        <w:rPr>
          <w:rFonts w:hint="eastAsia" w:ascii="仿宋" w:hAnsi="仿宋" w:eastAsia="仿宋" w:cs="仿宋"/>
          <w:bCs/>
          <w:color w:val="auto"/>
          <w:kern w:val="1"/>
          <w:sz w:val="30"/>
          <w:szCs w:val="30"/>
          <w:highlight w:val="yellow"/>
          <w:lang w:val="en-US" w:eastAsia="zh-CN"/>
        </w:rPr>
        <w:t xml:space="preserve">    </w:t>
      </w:r>
      <w:r>
        <w:rPr>
          <w:rFonts w:hint="eastAsia" w:ascii="仿宋" w:hAnsi="仿宋" w:eastAsia="仿宋" w:cs="仿宋"/>
          <w:bCs/>
          <w:color w:val="auto"/>
          <w:kern w:val="1"/>
          <w:sz w:val="30"/>
          <w:szCs w:val="30"/>
          <w:highlight w:val="yellow"/>
        </w:rPr>
        <w:t>（</w:t>
      </w:r>
      <w:r>
        <w:rPr>
          <w:rFonts w:hint="eastAsia" w:ascii="仿宋" w:hAnsi="仿宋" w:eastAsia="仿宋" w:cs="仿宋"/>
          <w:bCs/>
          <w:color w:val="auto"/>
          <w:kern w:val="1"/>
          <w:sz w:val="30"/>
          <w:szCs w:val="30"/>
          <w:highlight w:val="yellow"/>
          <w:lang w:val="en-US" w:eastAsia="zh-CN"/>
        </w:rPr>
        <w:t>三</w:t>
      </w:r>
      <w:r>
        <w:rPr>
          <w:rFonts w:hint="eastAsia" w:ascii="仿宋" w:hAnsi="仿宋" w:eastAsia="仿宋" w:cs="仿宋"/>
          <w:bCs/>
          <w:color w:val="auto"/>
          <w:kern w:val="1"/>
          <w:sz w:val="30"/>
          <w:szCs w:val="30"/>
          <w:highlight w:val="yellow"/>
        </w:rPr>
        <w:t>）如</w:t>
      </w:r>
      <w:r>
        <w:rPr>
          <w:rFonts w:hint="eastAsia" w:ascii="仿宋" w:hAnsi="仿宋" w:eastAsia="仿宋" w:cs="仿宋"/>
          <w:bCs/>
          <w:color w:val="auto"/>
          <w:kern w:val="1"/>
          <w:sz w:val="30"/>
          <w:szCs w:val="30"/>
          <w:highlight w:val="yellow"/>
          <w:lang w:val="en-US" w:eastAsia="zh-CN"/>
        </w:rPr>
        <w:t>中标人</w:t>
      </w:r>
      <w:r>
        <w:rPr>
          <w:rFonts w:hint="eastAsia" w:ascii="仿宋" w:hAnsi="仿宋" w:eastAsia="仿宋" w:cs="仿宋"/>
          <w:bCs/>
          <w:color w:val="auto"/>
          <w:kern w:val="1"/>
          <w:sz w:val="30"/>
          <w:szCs w:val="30"/>
          <w:highlight w:val="yellow"/>
        </w:rPr>
        <w:t>不能正常履约，对招标人生产经营活动造成影响的，根据《索普集团供应商负面清单管理规定(2023年修订版)》（详见附件</w:t>
      </w:r>
      <w:r>
        <w:rPr>
          <w:rFonts w:hint="eastAsia" w:ascii="仿宋" w:hAnsi="仿宋" w:eastAsia="仿宋" w:cs="仿宋"/>
          <w:bCs/>
          <w:color w:val="auto"/>
          <w:kern w:val="1"/>
          <w:sz w:val="30"/>
          <w:szCs w:val="30"/>
          <w:highlight w:val="yellow"/>
          <w:lang w:val="en-US" w:eastAsia="zh-CN"/>
        </w:rPr>
        <w:t>1</w:t>
      </w:r>
      <w:r>
        <w:rPr>
          <w:rFonts w:hint="eastAsia" w:ascii="仿宋" w:hAnsi="仿宋" w:eastAsia="仿宋" w:cs="仿宋"/>
          <w:bCs/>
          <w:color w:val="auto"/>
          <w:kern w:val="1"/>
          <w:sz w:val="30"/>
          <w:szCs w:val="30"/>
          <w:highlight w:val="yellow"/>
        </w:rPr>
        <w:t>），招标人</w:t>
      </w:r>
      <w:r>
        <w:rPr>
          <w:rFonts w:hint="eastAsia" w:ascii="仿宋" w:hAnsi="仿宋" w:eastAsia="仿宋" w:cs="仿宋"/>
          <w:bCs/>
          <w:color w:val="auto"/>
          <w:kern w:val="1"/>
          <w:sz w:val="30"/>
          <w:szCs w:val="30"/>
          <w:highlight w:val="yellow"/>
          <w:lang w:eastAsia="zh-CN"/>
        </w:rPr>
        <w:t>有权</w:t>
      </w:r>
      <w:r>
        <w:rPr>
          <w:rFonts w:hint="eastAsia" w:ascii="仿宋" w:hAnsi="仿宋" w:eastAsia="仿宋" w:cs="仿宋"/>
          <w:bCs/>
          <w:color w:val="auto"/>
          <w:kern w:val="1"/>
          <w:sz w:val="30"/>
          <w:szCs w:val="30"/>
          <w:highlight w:val="yellow"/>
        </w:rPr>
        <w:t>对违反</w:t>
      </w:r>
      <w:r>
        <w:rPr>
          <w:rFonts w:hint="eastAsia" w:ascii="仿宋" w:hAnsi="仿宋" w:eastAsia="仿宋" w:cs="仿宋"/>
          <w:bCs/>
          <w:color w:val="auto"/>
          <w:kern w:val="1"/>
          <w:sz w:val="30"/>
          <w:szCs w:val="30"/>
          <w:highlight w:val="yellow"/>
          <w:lang w:eastAsia="zh-CN"/>
        </w:rPr>
        <w:t>规定</w:t>
      </w:r>
      <w:r>
        <w:rPr>
          <w:rFonts w:hint="eastAsia" w:ascii="仿宋" w:hAnsi="仿宋" w:eastAsia="仿宋" w:cs="仿宋"/>
          <w:bCs/>
          <w:color w:val="auto"/>
          <w:kern w:val="1"/>
          <w:sz w:val="30"/>
          <w:szCs w:val="30"/>
          <w:highlight w:val="yellow"/>
        </w:rPr>
        <w:t>的</w:t>
      </w:r>
      <w:r>
        <w:rPr>
          <w:rFonts w:hint="eastAsia" w:ascii="仿宋" w:hAnsi="仿宋" w:eastAsia="仿宋" w:cs="仿宋"/>
          <w:bCs/>
          <w:color w:val="auto"/>
          <w:kern w:val="1"/>
          <w:sz w:val="30"/>
          <w:szCs w:val="30"/>
          <w:highlight w:val="yellow"/>
          <w:lang w:val="en-US" w:eastAsia="zh-CN"/>
        </w:rPr>
        <w:t>中</w:t>
      </w:r>
      <w:bookmarkStart w:id="0" w:name="_GoBack"/>
      <w:bookmarkEnd w:id="0"/>
      <w:r>
        <w:rPr>
          <w:rFonts w:hint="eastAsia" w:ascii="仿宋" w:hAnsi="仿宋" w:eastAsia="仿宋" w:cs="仿宋"/>
          <w:bCs/>
          <w:color w:val="auto"/>
          <w:kern w:val="1"/>
          <w:sz w:val="30"/>
          <w:szCs w:val="30"/>
          <w:highlight w:val="yellow"/>
        </w:rPr>
        <w:t>标人进行考核扣分</w:t>
      </w:r>
      <w:r>
        <w:rPr>
          <w:rFonts w:hint="eastAsia" w:ascii="仿宋" w:hAnsi="仿宋" w:eastAsia="仿宋" w:cs="仿宋"/>
          <w:bCs/>
          <w:color w:val="auto"/>
          <w:kern w:val="1"/>
          <w:sz w:val="30"/>
          <w:szCs w:val="30"/>
          <w:highlight w:val="yellow"/>
          <w:lang w:eastAsia="zh-CN"/>
        </w:rPr>
        <w:t>，对</w:t>
      </w:r>
      <w:r>
        <w:rPr>
          <w:rFonts w:hint="eastAsia" w:ascii="仿宋" w:hAnsi="仿宋" w:eastAsia="仿宋" w:cs="仿宋"/>
          <w:bCs/>
          <w:color w:val="auto"/>
          <w:kern w:val="1"/>
          <w:sz w:val="30"/>
          <w:szCs w:val="30"/>
          <w:highlight w:val="yellow"/>
        </w:rPr>
        <w:t>列入负面清单</w:t>
      </w:r>
      <w:r>
        <w:rPr>
          <w:rFonts w:hint="eastAsia" w:ascii="仿宋" w:hAnsi="仿宋" w:eastAsia="仿宋" w:cs="仿宋"/>
          <w:bCs/>
          <w:color w:val="auto"/>
          <w:kern w:val="1"/>
          <w:sz w:val="30"/>
          <w:szCs w:val="30"/>
          <w:highlight w:val="yellow"/>
          <w:lang w:eastAsia="zh-CN"/>
        </w:rPr>
        <w:t>的供应商</w:t>
      </w:r>
      <w:r>
        <w:rPr>
          <w:rFonts w:hint="eastAsia" w:ascii="仿宋" w:hAnsi="仿宋" w:eastAsia="仿宋" w:cs="仿宋"/>
          <w:bCs/>
          <w:color w:val="auto"/>
          <w:kern w:val="1"/>
          <w:sz w:val="30"/>
          <w:szCs w:val="30"/>
          <w:highlight w:val="yellow"/>
        </w:rPr>
        <w:t>，索普集团</w:t>
      </w:r>
      <w:r>
        <w:rPr>
          <w:rFonts w:hint="eastAsia" w:ascii="仿宋" w:hAnsi="仿宋" w:eastAsia="仿宋" w:cs="仿宋"/>
          <w:bCs/>
          <w:color w:val="auto"/>
          <w:kern w:val="1"/>
          <w:sz w:val="30"/>
          <w:szCs w:val="30"/>
          <w:highlight w:val="yellow"/>
          <w:lang w:eastAsia="zh-CN"/>
        </w:rPr>
        <w:t>本部</w:t>
      </w:r>
      <w:r>
        <w:rPr>
          <w:rFonts w:hint="eastAsia" w:ascii="仿宋" w:hAnsi="仿宋" w:eastAsia="仿宋" w:cs="仿宋"/>
          <w:bCs/>
          <w:color w:val="auto"/>
          <w:kern w:val="1"/>
          <w:sz w:val="30"/>
          <w:szCs w:val="30"/>
          <w:highlight w:val="yellow"/>
        </w:rPr>
        <w:t>及</w:t>
      </w:r>
      <w:r>
        <w:rPr>
          <w:rFonts w:hint="eastAsia" w:ascii="仿宋" w:hAnsi="仿宋" w:eastAsia="仿宋" w:cs="仿宋"/>
          <w:bCs/>
          <w:color w:val="auto"/>
          <w:kern w:val="1"/>
          <w:sz w:val="30"/>
          <w:szCs w:val="30"/>
          <w:highlight w:val="yellow"/>
          <w:lang w:eastAsia="zh-CN"/>
        </w:rPr>
        <w:t>各</w:t>
      </w:r>
      <w:r>
        <w:rPr>
          <w:rFonts w:hint="eastAsia" w:ascii="仿宋" w:hAnsi="仿宋" w:eastAsia="仿宋" w:cs="仿宋"/>
          <w:bCs/>
          <w:color w:val="auto"/>
          <w:kern w:val="1"/>
          <w:sz w:val="30"/>
          <w:szCs w:val="30"/>
          <w:highlight w:val="yellow"/>
        </w:rPr>
        <w:t>分子公司将不接受其投标</w:t>
      </w:r>
      <w:r>
        <w:rPr>
          <w:rFonts w:hint="eastAsia" w:ascii="仿宋" w:hAnsi="仿宋" w:eastAsia="仿宋" w:cs="仿宋"/>
          <w:bCs/>
          <w:color w:val="auto"/>
          <w:kern w:val="1"/>
          <w:sz w:val="30"/>
          <w:szCs w:val="30"/>
          <w:highlight w:val="yellow"/>
          <w:lang w:eastAsia="zh-CN"/>
        </w:rPr>
        <w:t>，产生</w:t>
      </w:r>
      <w:r>
        <w:rPr>
          <w:rFonts w:hint="eastAsia" w:ascii="仿宋" w:hAnsi="仿宋" w:eastAsia="仿宋" w:cs="仿宋"/>
          <w:bCs/>
          <w:color w:val="auto"/>
          <w:kern w:val="1"/>
          <w:sz w:val="30"/>
          <w:szCs w:val="30"/>
          <w:highlight w:val="yellow"/>
        </w:rPr>
        <w:t>严重影响的，招标人将依法追究投标</w:t>
      </w:r>
      <w:r>
        <w:rPr>
          <w:rFonts w:hint="eastAsia" w:ascii="仿宋" w:hAnsi="仿宋" w:eastAsia="仿宋" w:cs="仿宋"/>
          <w:bCs/>
          <w:color w:val="auto"/>
          <w:kern w:val="1"/>
          <w:sz w:val="30"/>
          <w:szCs w:val="30"/>
          <w:highlight w:val="yellow"/>
          <w:lang w:eastAsia="zh-CN"/>
        </w:rPr>
        <w:t>人</w:t>
      </w:r>
      <w:r>
        <w:rPr>
          <w:rFonts w:hint="eastAsia" w:ascii="仿宋" w:hAnsi="仿宋" w:eastAsia="仿宋" w:cs="仿宋"/>
          <w:bCs/>
          <w:color w:val="auto"/>
          <w:kern w:val="1"/>
          <w:sz w:val="30"/>
          <w:szCs w:val="30"/>
          <w:highlight w:val="yellow"/>
        </w:rPr>
        <w:t>法律责任。索普集团供应商负面清单的公示地址为：www.sopo.com.cn。</w:t>
      </w:r>
    </w:p>
    <w:p>
      <w:pPr>
        <w:keepNext w:val="0"/>
        <w:keepLines w:val="0"/>
        <w:pageBreakBefore w:val="0"/>
        <w:widowControl w:val="0"/>
        <w:kinsoku/>
        <w:overflowPunct/>
        <w:topLinePunct w:val="0"/>
        <w:autoSpaceDE/>
        <w:autoSpaceDN/>
        <w:bidi w:val="0"/>
        <w:adjustRightInd w:val="0"/>
        <w:snapToGrid w:val="0"/>
        <w:spacing w:line="600" w:lineRule="exact"/>
        <w:ind w:right="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rPr>
        <w:t>）投标人对所供产品所引起的知识产权方面的纠纷，由投标人承担一切后果，招标人不承担任何责任。</w:t>
      </w:r>
    </w:p>
    <w:p>
      <w:pPr>
        <w:keepNext w:val="0"/>
        <w:keepLines w:val="0"/>
        <w:pageBreakBefore w:val="0"/>
        <w:widowControl w:val="0"/>
        <w:kinsoku/>
        <w:overflowPunct/>
        <w:topLinePunct w:val="0"/>
        <w:autoSpaceDE/>
        <w:autoSpaceDN/>
        <w:bidi w:val="0"/>
        <w:adjustRightInd w:val="0"/>
        <w:snapToGrid w:val="0"/>
        <w:spacing w:line="600" w:lineRule="exact"/>
        <w:ind w:right="0" w:firstLine="6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right="0" w:firstLine="6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）本次招标解释权归江苏索普（集团）有限公司商务合作部所有</w:t>
      </w:r>
      <w:r>
        <w:rPr>
          <w:rFonts w:hint="eastAsia" w:ascii="仿宋" w:hAnsi="仿宋" w:eastAsia="仿宋" w:cs="仿宋"/>
          <w:bCs/>
          <w:color w:val="auto"/>
          <w:kern w:val="2"/>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p>
    <w:p>
      <w:pPr>
        <w:rPr>
          <w:rFonts w:hint="eastAsia"/>
        </w:rPr>
      </w:pPr>
    </w:p>
    <w:p>
      <w:pPr>
        <w:pStyle w:val="5"/>
        <w:rPr>
          <w:rFonts w:hint="eastAsia" w:ascii="仿宋_GB2312" w:eastAsia="仿宋_GB2312" w:cs="‹ÎSå"/>
          <w:bCs/>
          <w:kern w:val="1"/>
          <w:sz w:val="24"/>
        </w:rPr>
      </w:pPr>
    </w:p>
    <w:p>
      <w:pPr>
        <w:pStyle w:val="2"/>
        <w:pageBreakBefore/>
        <w:spacing w:line="579" w:lineRule="auto"/>
        <w:ind w:firstLine="3855" w:firstLineChars="1200"/>
        <w:jc w:val="both"/>
      </w:pPr>
      <w:r>
        <w:rPr>
          <w:rFonts w:hint="eastAsia" w:ascii="黑体" w:hAnsi="黑体" w:eastAsia="黑体" w:cs="黑体"/>
        </w:rPr>
        <w:t>报价函</w:t>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right="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1、投标项目的总投标价（含税）为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w:t>
      </w:r>
      <w:r>
        <w:rPr>
          <w:rFonts w:hint="eastAsia" w:ascii="仿宋_GB2312" w:hAnsi="仿宋_GB2312" w:eastAsia="仿宋_GB2312" w:cs="仿宋_GB2312"/>
          <w:bCs/>
          <w:color w:val="auto"/>
          <w:kern w:val="1"/>
          <w:sz w:val="30"/>
          <w:szCs w:val="30"/>
          <w:lang w:eastAsia="zh-CN"/>
        </w:rPr>
        <w:t>合同</w:t>
      </w:r>
      <w:r>
        <w:rPr>
          <w:rFonts w:hint="eastAsia" w:ascii="仿宋_GB2312" w:hAnsi="仿宋_GB2312" w:eastAsia="仿宋_GB2312" w:cs="仿宋_GB2312"/>
          <w:bCs/>
          <w:color w:val="auto"/>
          <w:kern w:val="1"/>
          <w:sz w:val="30"/>
          <w:szCs w:val="30"/>
        </w:rPr>
        <w:t>合,并承担合同规定的责任义务；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40" w:lineRule="exact"/>
        <w:ind w:left="0" w:right="0" w:firstLine="6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5"/>
        <w:keepNext w:val="0"/>
        <w:keepLines w:val="0"/>
        <w:pageBreakBefore w:val="0"/>
        <w:widowControl w:val="0"/>
        <w:kinsoku/>
        <w:overflowPunct/>
        <w:topLinePunct w:val="0"/>
        <w:autoSpaceDE/>
        <w:autoSpaceDN/>
        <w:bidi w:val="0"/>
        <w:adjustRightInd w:val="0"/>
        <w:snapToGrid w:val="0"/>
        <w:spacing w:after="0" w:line="540" w:lineRule="exact"/>
        <w:ind w:left="0" w:right="0" w:firstLine="6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5"/>
        <w:keepNext w:val="0"/>
        <w:keepLines w:val="0"/>
        <w:pageBreakBefore w:val="0"/>
        <w:widowControl w:val="0"/>
        <w:kinsoku/>
        <w:overflowPunct/>
        <w:topLinePunct w:val="0"/>
        <w:autoSpaceDE/>
        <w:autoSpaceDN/>
        <w:bidi w:val="0"/>
        <w:adjustRightInd w:val="0"/>
        <w:snapToGrid w:val="0"/>
        <w:spacing w:after="0" w:line="540" w:lineRule="exact"/>
        <w:ind w:left="0" w:right="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right="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right="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right="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投标单位（盖章）：</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right="0"/>
        <w:jc w:val="left"/>
        <w:textAlignment w:val="auto"/>
        <w:outlineLvl w:val="9"/>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right="0"/>
        <w:jc w:val="left"/>
        <w:textAlignment w:val="auto"/>
        <w:outlineLvl w:val="9"/>
        <w:rPr>
          <w:rFonts w:hint="eastAsia" w:ascii="仿宋_GB2312" w:hAnsi="仿宋_GB2312" w:eastAsia="仿宋_GB2312" w:cs="仿宋_GB2312"/>
          <w:kern w:val="1"/>
          <w:sz w:val="30"/>
          <w:szCs w:val="30"/>
        </w:rPr>
      </w:pPr>
    </w:p>
    <w:p>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3"/>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3"/>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3"/>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right="0" w:firstLine="68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right="0" w:firstLine="68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right="0" w:firstLine="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right="0" w:firstLine="0"/>
        <w:jc w:val="both"/>
        <w:textAlignment w:val="auto"/>
        <w:outlineLvl w:val="9"/>
        <w:rPr>
          <w:rFonts w:hint="eastAsia" w:ascii="仿宋_GB2312" w:hAnsi="仿宋" w:eastAsia="仿宋_GB2312" w:cs="Times New Roman"/>
          <w:b w:val="0"/>
          <w:bCs/>
          <w:color w:val="auto"/>
          <w:sz w:val="34"/>
          <w:szCs w:val="34"/>
          <w:lang w:eastAsia="zh-CN"/>
        </w:rPr>
      </w:pPr>
      <w: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9"/>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3"/>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val="en-US" w:eastAsia="zh-CN"/>
        </w:rPr>
        <w:t xml:space="preserve">    </w:t>
      </w: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firstLine="642"/>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firstLine="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firstLine="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right="21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firstLine="683"/>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firstLine="683"/>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right="0" w:firstLine="683"/>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right="0" w:firstLine="0"/>
        <w:jc w:val="left"/>
        <w:textAlignment w:val="auto"/>
        <w:outlineLvl w:val="9"/>
        <w:rPr>
          <w:rFonts w:hint="eastAsia" w:ascii="仿宋_GB2312" w:eastAsia="仿宋_GB2312"/>
          <w:b w:val="0"/>
          <w:bCs/>
          <w:color w:val="auto"/>
          <w:sz w:val="34"/>
          <w:szCs w:val="34"/>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pStyle w:val="3"/>
        <w:rPr>
          <w:rFonts w:hint="eastAsia" w:ascii="仿宋_GB2312" w:eastAsia="仿宋_GB2312"/>
          <w:b w:val="0"/>
          <w:bCs/>
          <w:color w:val="auto"/>
          <w:sz w:val="34"/>
          <w:szCs w:val="34"/>
        </w:rPr>
      </w:pPr>
    </w:p>
    <w:p>
      <w:pPr>
        <w:rPr>
          <w:rFonts w:hint="eastAsia"/>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1"/>
        <w:tblW w:w="0" w:type="auto"/>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0" w:type="dxa"/>
          <w:trHeight w:val="534" w:hRule="atLeast"/>
        </w:trPr>
        <w:tc>
          <w:tcPr>
            <w:vMerge w:val="continue"/>
            <w:tcBorders>
              <w:top w:val="single" w:color="auto" w:sz="4" w:space="0"/>
              <w:left w:val="single" w:color="auto" w:sz="4" w:space="0"/>
              <w:right w:val="single" w:color="auto" w:sz="4" w:space="0"/>
            </w:tcBorders>
            <w:noWrap w:val="0"/>
          </w:tcPr>
          <w:p/>
        </w:tc>
        <w:tc>
          <w:tcPr>
            <w:vMerge w:val="continue"/>
            <w:tcBorders>
              <w:top w:val="single" w:color="auto" w:sz="4" w:space="0"/>
              <w:left w:val="single" w:color="auto" w:sz="4" w:space="0"/>
              <w:right w:val="single" w:color="auto" w:sz="4" w:space="0"/>
            </w:tcBorders>
            <w:noWrap w:val="0"/>
          </w:tcPr>
          <w:p/>
        </w:tc>
        <w:tc>
          <w:tcPr>
            <w:vMerge w:val="continue"/>
            <w:tcBorders>
              <w:top w:val="single" w:color="auto" w:sz="4" w:space="0"/>
              <w:left w:val="single" w:color="auto" w:sz="4" w:space="0"/>
              <w:right w:val="single" w:color="auto" w:sz="4" w:space="0"/>
            </w:tcBorders>
            <w:noWrap w:val="0"/>
          </w:tc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vMerge w:val="continue"/>
            <w:tcBorders>
              <w:top w:val="single" w:color="auto" w:sz="4" w:space="0"/>
              <w:left w:val="single" w:color="auto" w:sz="4" w:space="0"/>
              <w:bottom w:val="single" w:color="auto" w:sz="4" w:space="0"/>
              <w:right w:val="single" w:color="auto" w:sz="4" w:space="0"/>
            </w:tcBorders>
            <w:noWrap w:val="0"/>
          </w:tcPr>
          <w:p/>
        </w:tc>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gridSpan w:val="2"/>
            <w:vMerge w:val="continue"/>
            <w:tcBorders>
              <w:top w:val="single" w:color="auto" w:sz="4" w:space="0"/>
              <w:left w:val="single" w:color="auto" w:sz="4" w:space="0"/>
              <w:bottom w:val="single" w:color="auto" w:sz="4" w:space="0"/>
              <w:right w:val="single" w:color="auto" w:sz="4" w:space="0"/>
            </w:tcBorders>
            <w:noWrap w:val="0"/>
          </w:tc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0"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trHeight w:val="285" w:hRule="atLeast"/>
        </w:trPr>
        <w:tc>
          <w:tcPr>
            <w:tcW w:w="10410" w:type="dxa"/>
            <w:gridSpan w:val="11"/>
            <w:tcBorders>
              <w:top w:val="nil"/>
              <w:left w:val="nil"/>
              <w:bottom w:val="nil"/>
              <w:right w:val="nil"/>
            </w:tcBorders>
            <w:noWrap w:val="0"/>
            <w:vAlign w:val="center"/>
          </w:tcPr>
          <w:p>
            <w:pPr>
              <w:widowControl/>
              <w:jc w:val="left"/>
              <w:rPr>
                <w:rFonts w:ascii="宋体" w:hAnsi="宋体" w:cs="宋体"/>
                <w:b w:val="0"/>
                <w:bCs/>
                <w:color w:val="auto"/>
                <w:kern w:val="0"/>
                <w:szCs w:val="21"/>
              </w:rPr>
            </w:pPr>
          </w:p>
        </w:tc>
        <w:tc>
          <w:tcPr>
            <w:tcW w:w="1243"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c>
          <w:tcPr>
            <w:tcW w:w="1286" w:type="dxa"/>
            <w:gridSpan w:val="2"/>
            <w:tcBorders>
              <w:top w:val="nil"/>
              <w:left w:val="nil"/>
              <w:bottom w:val="nil"/>
              <w:right w:val="nil"/>
            </w:tcBorders>
            <w:noWrap w:val="0"/>
            <w:vAlign w:val="center"/>
          </w:tcPr>
          <w:p>
            <w:pPr>
              <w:widowControl/>
              <w:jc w:val="left"/>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285" w:hRule="atLeast"/>
        </w:trPr>
        <w:tc>
          <w:tcPr>
            <w:tcW w:w="12939" w:type="dxa"/>
            <w:gridSpan w:val="15"/>
            <w:tcBorders>
              <w:top w:val="nil"/>
              <w:left w:val="nil"/>
              <w:bottom w:val="nil"/>
              <w:right w:val="nil"/>
            </w:tcBorders>
            <w:noWrap w:val="0"/>
            <w:vAlign w:val="center"/>
          </w:tcPr>
          <w:p>
            <w:pPr>
              <w:widowControl/>
              <w:jc w:val="left"/>
              <w:rPr>
                <w:rFonts w:ascii="Calibri" w:hAnsi="Calibri" w:cs="宋体"/>
                <w:b w:val="0"/>
                <w:bCs/>
                <w:color w:val="auto"/>
                <w:kern w:val="0"/>
                <w:szCs w:val="21"/>
              </w:rPr>
            </w:pPr>
          </w:p>
        </w:tc>
      </w:tr>
    </w:tbl>
    <w:p>
      <w:pPr>
        <w:adjustRightInd w:val="0"/>
        <w:snapToGrid w:val="0"/>
        <w:spacing w:beforeLines="0" w:afterLines="0" w:line="600" w:lineRule="exact"/>
        <w:ind w:right="210"/>
        <w:jc w:val="both"/>
        <w:rPr>
          <w:rFonts w:hint="eastAsia" w:ascii="仿宋_GB2312" w:hAnsi="仿宋_GB2312" w:eastAsia="仿宋_GB2312" w:cs="仿宋_GB2312"/>
          <w:b w:val="0"/>
          <w:bCs/>
          <w:color w:val="auto"/>
          <w:sz w:val="34"/>
          <w:szCs w:val="34"/>
          <w:highlight w:val="none"/>
          <w:lang w:val="en-US" w:eastAsia="zh-CN"/>
        </w:rPr>
      </w:pPr>
    </w:p>
    <w:p>
      <w:pPr>
        <w:widowControl/>
        <w:jc w:val="left"/>
        <w:rPr>
          <w:rFonts w:hint="eastAsia" w:ascii="黑体" w:hAnsi="黑体" w:eastAsia="黑体" w:cs="黑体"/>
          <w:b w:val="0"/>
          <w:bCs/>
          <w:color w:val="auto"/>
          <w:kern w:val="0"/>
          <w:sz w:val="34"/>
          <w:szCs w:val="34"/>
        </w:rPr>
      </w:pPr>
    </w:p>
    <w:p/>
    <w:sectPr>
      <w:footerReference r:id="rId6" w:type="default"/>
      <w:footerReference r:id="rId7"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0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0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34BB"/>
    <w:multiLevelType w:val="singleLevel"/>
    <w:tmpl w:val="8F0434BB"/>
    <w:lvl w:ilvl="0" w:tentative="0">
      <w:start w:val="1"/>
      <w:numFmt w:val="decimal"/>
      <w:suff w:val="nothing"/>
      <w:lvlText w:val="%1、"/>
      <w:lvlJc w:val="left"/>
    </w:lvl>
  </w:abstractNum>
  <w:abstractNum w:abstractNumId="1">
    <w:nsid w:val="BCD2F910"/>
    <w:multiLevelType w:val="singleLevel"/>
    <w:tmpl w:val="BCD2F910"/>
    <w:lvl w:ilvl="0" w:tentative="0">
      <w:start w:val="6"/>
      <w:numFmt w:val="chineseCounting"/>
      <w:suff w:val="nothing"/>
      <w:lvlText w:val="%1、"/>
      <w:lvlJc w:val="left"/>
      <w:rPr>
        <w:rFonts w:hint="eastAsia"/>
      </w:rPr>
    </w:lvl>
  </w:abstractNum>
  <w:abstractNum w:abstractNumId="2">
    <w:nsid w:val="DAAA3DA6"/>
    <w:multiLevelType w:val="singleLevel"/>
    <w:tmpl w:val="DAAA3DA6"/>
    <w:lvl w:ilvl="0" w:tentative="0">
      <w:start w:val="2"/>
      <w:numFmt w:val="chineseCounting"/>
      <w:suff w:val="nothing"/>
      <w:lvlText w:val="（%1）"/>
      <w:lvlJc w:val="left"/>
      <w:rPr>
        <w:rFonts w:hint="eastAsia"/>
      </w:rPr>
    </w:lvl>
  </w:abstractNum>
  <w:abstractNum w:abstractNumId="3">
    <w:nsid w:val="E578791A"/>
    <w:multiLevelType w:val="singleLevel"/>
    <w:tmpl w:val="E578791A"/>
    <w:lvl w:ilvl="0" w:tentative="0">
      <w:start w:val="5"/>
      <w:numFmt w:val="chineseCounting"/>
      <w:suff w:val="nothing"/>
      <w:lvlText w:val="%1、"/>
      <w:lvlJc w:val="left"/>
      <w:rPr>
        <w:rFonts w:hint="eastAsia"/>
      </w:rPr>
    </w:lvl>
  </w:abstractNum>
  <w:abstractNum w:abstractNumId="4">
    <w:nsid w:val="F7A3DE4F"/>
    <w:multiLevelType w:val="singleLevel"/>
    <w:tmpl w:val="F7A3DE4F"/>
    <w:lvl w:ilvl="0" w:tentative="0">
      <w:start w:val="1"/>
      <w:numFmt w:val="chineseCounting"/>
      <w:suff w:val="nothing"/>
      <w:lvlText w:val="（%1）"/>
      <w:lvlJc w:val="left"/>
      <w:pPr>
        <w:ind w:left="3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zYwOGM1ODUzYjk3YjIyMTQzZjg5ZjZmNGRmYWYifQ=="/>
  </w:docVars>
  <w:rsids>
    <w:rsidRoot w:val="00000000"/>
    <w:rsid w:val="022D65CE"/>
    <w:rsid w:val="02FA5F8F"/>
    <w:rsid w:val="054B711F"/>
    <w:rsid w:val="08532961"/>
    <w:rsid w:val="088F1E3A"/>
    <w:rsid w:val="0C9B74C5"/>
    <w:rsid w:val="0CEF282B"/>
    <w:rsid w:val="10E90416"/>
    <w:rsid w:val="11320B1E"/>
    <w:rsid w:val="162F7B89"/>
    <w:rsid w:val="17012C29"/>
    <w:rsid w:val="1AB465B2"/>
    <w:rsid w:val="25997A40"/>
    <w:rsid w:val="27E47234"/>
    <w:rsid w:val="2B3A3FD8"/>
    <w:rsid w:val="2BDB0314"/>
    <w:rsid w:val="2DDD2A94"/>
    <w:rsid w:val="40E37BB1"/>
    <w:rsid w:val="47273357"/>
    <w:rsid w:val="4BE21861"/>
    <w:rsid w:val="4D457006"/>
    <w:rsid w:val="4DB72F36"/>
    <w:rsid w:val="4DED081D"/>
    <w:rsid w:val="58162FC4"/>
    <w:rsid w:val="5DA626CB"/>
    <w:rsid w:val="5E887156"/>
    <w:rsid w:val="652624AC"/>
    <w:rsid w:val="688B5F66"/>
    <w:rsid w:val="6C1D522A"/>
    <w:rsid w:val="72CC0884"/>
    <w:rsid w:val="76CB2DAE"/>
    <w:rsid w:val="77D650A5"/>
    <w:rsid w:val="781438F7"/>
    <w:rsid w:val="7FD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rPr>
      <w:i/>
      <w:color w:val="4F81BD"/>
      <w:sz w:val="24"/>
    </w:rPr>
  </w:style>
  <w:style w:type="paragraph" w:styleId="10">
    <w:name w:val="Title"/>
    <w:basedOn w:val="1"/>
    <w:qFormat/>
    <w:uiPriority w:val="0"/>
    <w:pPr>
      <w:spacing w:after="300"/>
    </w:pPr>
    <w:rPr>
      <w:color w:val="17365D"/>
      <w:sz w:val="5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unhideWhenUsed/>
    <w:qFormat/>
    <w:uiPriority w:val="99"/>
    <w:rPr>
      <w:color w:val="0000FF"/>
      <w:u w:val="single"/>
    </w:rPr>
  </w:style>
  <w:style w:type="paragraph" w:customStyle="1" w:styleId="16">
    <w:name w:val="列出段落1"/>
    <w:basedOn w:val="1"/>
    <w:autoRedefine/>
    <w:qFormat/>
    <w:uiPriority w:val="34"/>
    <w:pPr>
      <w:ind w:firstLine="420"/>
    </w:pPr>
  </w:style>
  <w:style w:type="character" w:customStyle="1" w:styleId="17">
    <w:name w:val="font41"/>
    <w:basedOn w:val="13"/>
    <w:autoRedefine/>
    <w:qFormat/>
    <w:uiPriority w:val="0"/>
    <w:rPr>
      <w:rFonts w:ascii="Arial" w:hAnsi="Arial" w:cs="Arial"/>
      <w:b/>
      <w:bCs/>
      <w:color w:val="333399"/>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7799</Words>
  <Characters>8075</Characters>
  <Lines>0</Lines>
  <Paragraphs>0</Paragraphs>
  <TotalTime>18</TotalTime>
  <ScaleCrop>false</ScaleCrop>
  <LinksUpToDate>false</LinksUpToDate>
  <CharactersWithSpaces>8656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2024-01-20T03:43:00Z</dcterms:created>
  <dc:creator>Administrator</dc:creator>
  <cp:lastModifiedBy>韩树林</cp:lastModifiedBy>
  <cp:lastPrinted>2024-05-30T02:45:00Z</cp:lastPrinted>
  <dcterms:modified xsi:type="dcterms:W3CDTF">2024-05-30T08:36:31Z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60F6233FD5B941CF99435DFF3E5FDD79_13</vt:lpwstr>
  </property>
</Properties>
</file>