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100" w:beforeAutospacing="1" w:after="100" w:afterAutospacing="1" w:line="300" w:lineRule="auto"/>
        <w:jc w:val="center"/>
        <w:rPr>
          <w:rFonts w:hint="eastAsia" w:ascii="黑体" w:hAnsi="黑体" w:eastAsia="黑体"/>
          <w:color w:val="auto"/>
          <w:w w:val="90"/>
          <w:highlight w:val="none"/>
        </w:rPr>
      </w:pPr>
      <w:r>
        <w:rPr>
          <w:rFonts w:hint="eastAsia" w:ascii="宋体" w:hAnsi="宋体"/>
          <w:color w:val="auto"/>
          <w:w w:val="90"/>
          <w:sz w:val="32"/>
          <w:szCs w:val="32"/>
          <w:highlight w:val="none"/>
        </w:rPr>
        <w:t>招标公告</w:t>
      </w:r>
    </w:p>
    <w:p>
      <w:pPr>
        <w:snapToGrid w:val="0"/>
        <w:spacing w:line="300" w:lineRule="auto"/>
        <w:ind w:firstLine="405" w:firstLineChars="193"/>
        <w:rPr>
          <w:rFonts w:hint="eastAsia" w:ascii="宋体" w:hAnsi="宋体"/>
          <w:color w:val="auto"/>
          <w:szCs w:val="21"/>
          <w:highlight w:val="none"/>
        </w:rPr>
      </w:pPr>
      <w:r>
        <w:rPr>
          <w:rFonts w:hint="eastAsia" w:ascii="宋体" w:hAnsi="宋体" w:cs="宋体"/>
          <w:color w:val="auto"/>
          <w:szCs w:val="21"/>
          <w:highlight w:val="none"/>
        </w:rPr>
        <w:t>中招国际招标有限公司</w:t>
      </w:r>
      <w:r>
        <w:rPr>
          <w:rFonts w:hint="eastAsia" w:ascii="宋体" w:hAnsi="宋体" w:cs="宋体"/>
          <w:color w:val="auto"/>
          <w:szCs w:val="21"/>
          <w:highlight w:val="none"/>
          <w:lang w:val="zh-CN"/>
        </w:rPr>
        <w:t>受</w:t>
      </w:r>
      <w:r>
        <w:rPr>
          <w:rFonts w:hint="eastAsia" w:ascii="Times New Roman" w:hAnsi="宋体" w:eastAsia="宋体" w:cs="Arial"/>
          <w:color w:val="auto"/>
          <w:szCs w:val="21"/>
          <w:highlight w:val="none"/>
        </w:rPr>
        <w:t>江</w:t>
      </w:r>
      <w:r>
        <w:rPr>
          <w:rFonts w:hint="eastAsia" w:ascii="宋体" w:hAnsi="宋体" w:eastAsia="宋体" w:cs="宋体"/>
          <w:color w:val="auto"/>
          <w:szCs w:val="21"/>
          <w:highlight w:val="none"/>
        </w:rPr>
        <w:t>苏</w:t>
      </w:r>
      <w:r>
        <w:rPr>
          <w:rFonts w:hint="eastAsia" w:ascii="Times New Roman" w:hAnsi="宋体" w:eastAsia="宋体" w:cs="Arial"/>
          <w:color w:val="auto"/>
          <w:szCs w:val="21"/>
          <w:highlight w:val="none"/>
        </w:rPr>
        <w:t>索普</w:t>
      </w:r>
      <w:r>
        <w:rPr>
          <w:rFonts w:hint="eastAsia" w:ascii="Times New Roman" w:hAnsi="宋体" w:eastAsia="宋体" w:cs="Arial"/>
          <w:color w:val="auto"/>
          <w:szCs w:val="21"/>
          <w:highlight w:val="none"/>
          <w:lang w:val="en-US" w:eastAsia="zh-CN"/>
        </w:rPr>
        <w:t>新材料科技有限公司</w:t>
      </w:r>
      <w:r>
        <w:rPr>
          <w:rFonts w:hint="eastAsia" w:ascii="宋体" w:hAnsi="宋体" w:cs="宋体"/>
          <w:color w:val="auto"/>
          <w:szCs w:val="21"/>
          <w:highlight w:val="none"/>
          <w:lang w:val="zh-CN"/>
        </w:rPr>
        <w:t>的</w:t>
      </w:r>
      <w:r>
        <w:rPr>
          <w:rFonts w:hint="eastAsia" w:ascii="宋体" w:hAnsi="宋体"/>
          <w:bCs/>
          <w:color w:val="auto"/>
          <w:szCs w:val="21"/>
          <w:highlight w:val="none"/>
        </w:rPr>
        <w:t>委托，对</w:t>
      </w:r>
      <w:r>
        <w:rPr>
          <w:rFonts w:hint="eastAsia" w:ascii="Times New Roman" w:hAnsi="宋体" w:eastAsia="宋体" w:cs="Arial"/>
          <w:color w:val="auto"/>
          <w:szCs w:val="21"/>
          <w:highlight w:val="none"/>
        </w:rPr>
        <w:t>江</w:t>
      </w:r>
      <w:r>
        <w:rPr>
          <w:rFonts w:hint="eastAsia" w:ascii="宋体" w:hAnsi="宋体" w:eastAsia="宋体" w:cs="宋体"/>
          <w:color w:val="auto"/>
          <w:szCs w:val="21"/>
          <w:highlight w:val="none"/>
        </w:rPr>
        <w:t>苏</w:t>
      </w:r>
      <w:r>
        <w:rPr>
          <w:rFonts w:hint="eastAsia" w:ascii="Times New Roman" w:hAnsi="宋体" w:eastAsia="宋体" w:cs="Arial"/>
          <w:color w:val="auto"/>
          <w:szCs w:val="21"/>
          <w:highlight w:val="none"/>
        </w:rPr>
        <w:t>索普</w:t>
      </w:r>
      <w:r>
        <w:rPr>
          <w:rFonts w:hint="eastAsia" w:ascii="Times New Roman" w:hAnsi="宋体" w:eastAsia="宋体" w:cs="Arial"/>
          <w:color w:val="auto"/>
          <w:szCs w:val="21"/>
          <w:highlight w:val="none"/>
          <w:lang w:val="en-US" w:eastAsia="zh-CN"/>
        </w:rPr>
        <w:t>新材料科技有限公</w:t>
      </w:r>
      <w:r>
        <w:rPr>
          <w:rFonts w:hint="eastAsia" w:ascii="Times New Roman" w:hAnsi="宋体" w:eastAsia="宋体" w:cs="Arial"/>
          <w:color w:val="auto"/>
          <w:szCs w:val="21"/>
          <w:highlight w:val="none"/>
          <w:u w:val="none"/>
          <w:lang w:val="en-US" w:eastAsia="zh-CN"/>
        </w:rPr>
        <w:t>司</w:t>
      </w:r>
      <w:r>
        <w:rPr>
          <w:rFonts w:hint="eastAsia" w:ascii="宋体" w:hAnsi="宋体" w:eastAsia="宋体" w:cs="宋体"/>
          <w:color w:val="auto"/>
          <w:sz w:val="21"/>
          <w:szCs w:val="21"/>
          <w:highlight w:val="none"/>
          <w:u w:val="none"/>
        </w:rPr>
        <w:t>醋酸乙烯及EVA一体化项目（一期</w:t>
      </w:r>
      <w:r>
        <w:rPr>
          <w:rFonts w:hint="eastAsia" w:ascii="宋体" w:hAnsi="宋体" w:eastAsia="宋体" w:cs="宋体"/>
          <w:color w:val="auto"/>
          <w:sz w:val="21"/>
          <w:szCs w:val="21"/>
          <w:highlight w:val="none"/>
          <w:u w:val="none"/>
          <w:lang w:val="en-US" w:eastAsia="zh-CN"/>
        </w:rPr>
        <w:t>工程</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80万吨硫酸</w:t>
      </w:r>
      <w:r>
        <w:rPr>
          <w:rFonts w:hint="eastAsia" w:ascii="宋体" w:hAnsi="宋体" w:eastAsia="宋体" w:cs="宋体"/>
          <w:color w:val="auto"/>
          <w:sz w:val="21"/>
          <w:szCs w:val="21"/>
          <w:highlight w:val="none"/>
          <w:u w:val="none"/>
          <w:lang w:val="en-US" w:eastAsia="zh-CN"/>
        </w:rPr>
        <w:t>配套</w:t>
      </w:r>
      <w:r>
        <w:rPr>
          <w:rFonts w:hint="eastAsia" w:ascii="宋体" w:hAnsi="宋体" w:cs="宋体"/>
          <w:color w:val="auto"/>
          <w:szCs w:val="21"/>
          <w:highlight w:val="none"/>
          <w:u w:val="none"/>
        </w:rPr>
        <w:t>循环水系统冷却塔</w:t>
      </w:r>
      <w:r>
        <w:rPr>
          <w:rFonts w:hint="eastAsia" w:ascii="宋体" w:hAnsi="宋体" w:cs="宋体"/>
          <w:color w:val="auto"/>
          <w:szCs w:val="21"/>
          <w:highlight w:val="none"/>
          <w:u w:val="none"/>
          <w:lang w:val="en-US" w:eastAsia="zh-CN"/>
        </w:rPr>
        <w:t>设备</w:t>
      </w:r>
      <w:r>
        <w:rPr>
          <w:rFonts w:hint="eastAsia" w:ascii="宋体" w:hAnsi="宋体" w:cs="宋体"/>
          <w:color w:val="auto"/>
          <w:szCs w:val="21"/>
          <w:highlight w:val="none"/>
          <w:u w:val="none"/>
        </w:rPr>
        <w:t>采购(招标编号：</w:t>
      </w:r>
      <w:r>
        <w:rPr>
          <w:rFonts w:hint="eastAsia" w:ascii="宋体" w:hAnsi="宋体" w:cs="宋体"/>
          <w:color w:val="auto"/>
          <w:szCs w:val="21"/>
          <w:highlight w:val="none"/>
          <w:u w:val="none"/>
          <w:lang w:val="en-US" w:eastAsia="zh-CN"/>
        </w:rPr>
        <w:t>TC240P</w:t>
      </w:r>
      <w:r>
        <w:rPr>
          <w:rFonts w:hint="eastAsia" w:ascii="宋体" w:hAnsi="宋体" w:cs="宋体"/>
          <w:color w:val="auto"/>
          <w:szCs w:val="21"/>
          <w:highlight w:val="none"/>
          <w:lang w:val="en-US" w:eastAsia="zh-CN"/>
        </w:rPr>
        <w:t xml:space="preserve">8TN </w:t>
      </w:r>
      <w:r>
        <w:rPr>
          <w:rFonts w:hint="eastAsia" w:ascii="宋体" w:hAnsi="宋体"/>
          <w:bCs/>
          <w:color w:val="auto"/>
          <w:szCs w:val="21"/>
          <w:highlight w:val="none"/>
        </w:rPr>
        <w:t>)</w:t>
      </w:r>
      <w:r>
        <w:rPr>
          <w:rFonts w:hint="eastAsia" w:ascii="宋体" w:hAnsi="宋体"/>
          <w:color w:val="auto"/>
          <w:szCs w:val="21"/>
          <w:highlight w:val="none"/>
        </w:rPr>
        <w:t>进行招标。现</w:t>
      </w:r>
      <w:r>
        <w:rPr>
          <w:rFonts w:hint="eastAsia" w:ascii="宋体" w:hAnsi="宋体" w:cs="宋体"/>
          <w:color w:val="auto"/>
          <w:szCs w:val="21"/>
          <w:highlight w:val="none"/>
          <w:lang w:val="zh-CN"/>
        </w:rPr>
        <w:t>采用国内公开招标的方式选定供应商承担本项目的供货及伴随服务。</w:t>
      </w:r>
    </w:p>
    <w:p>
      <w:pPr>
        <w:snapToGrid w:val="0"/>
        <w:spacing w:line="300" w:lineRule="auto"/>
        <w:ind w:firstLine="405" w:firstLineChars="193"/>
        <w:rPr>
          <w:rFonts w:hint="eastAsia" w:ascii="宋体" w:hAnsi="宋体"/>
          <w:color w:val="auto"/>
          <w:highlight w:val="none"/>
        </w:rPr>
      </w:pPr>
      <w:r>
        <w:rPr>
          <w:rFonts w:hint="eastAsia" w:ascii="宋体" w:hAnsi="宋体"/>
          <w:color w:val="auto"/>
          <w:highlight w:val="none"/>
        </w:rPr>
        <w:t>1．项目概况：</w:t>
      </w:r>
      <w:bookmarkStart w:id="1" w:name="_GoBack"/>
      <w:bookmarkEnd w:id="1"/>
    </w:p>
    <w:p>
      <w:pPr>
        <w:snapToGrid w:val="0"/>
        <w:spacing w:line="300" w:lineRule="auto"/>
        <w:ind w:firstLine="405" w:firstLineChars="193"/>
        <w:rPr>
          <w:rFonts w:hint="eastAsia" w:ascii="宋体" w:hAnsi="宋体" w:cs="宋体"/>
          <w:color w:val="auto"/>
          <w:szCs w:val="21"/>
          <w:highlight w:val="none"/>
        </w:rPr>
      </w:pPr>
      <w:r>
        <w:rPr>
          <w:rFonts w:hint="eastAsia" w:ascii="宋体" w:hAnsi="宋体"/>
          <w:color w:val="auto"/>
          <w:highlight w:val="none"/>
        </w:rPr>
        <w:t>1.1项目名称：</w:t>
      </w:r>
      <w:r>
        <w:rPr>
          <w:rFonts w:hint="eastAsia" w:ascii="宋体" w:hAnsi="宋体" w:eastAsia="宋体" w:cs="宋体"/>
          <w:color w:val="auto"/>
          <w:sz w:val="21"/>
          <w:szCs w:val="21"/>
          <w:highlight w:val="none"/>
        </w:rPr>
        <w:t>醋酸乙烯及EVA一体化项目（一期</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80万吨硫酸</w:t>
      </w:r>
      <w:r>
        <w:rPr>
          <w:rFonts w:hint="eastAsia" w:ascii="宋体" w:hAnsi="宋体" w:eastAsia="宋体" w:cs="宋体"/>
          <w:color w:val="auto"/>
          <w:sz w:val="21"/>
          <w:szCs w:val="21"/>
          <w:highlight w:val="none"/>
          <w:lang w:val="en-US" w:eastAsia="zh-CN"/>
        </w:rPr>
        <w:t>配套</w:t>
      </w:r>
      <w:r>
        <w:rPr>
          <w:rFonts w:hint="eastAsia" w:ascii="宋体" w:hAnsi="宋体" w:cs="宋体"/>
          <w:color w:val="auto"/>
          <w:szCs w:val="21"/>
          <w:highlight w:val="none"/>
        </w:rPr>
        <w:t>循环水系统冷却塔</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采购</w:t>
      </w:r>
    </w:p>
    <w:p>
      <w:pPr>
        <w:snapToGrid w:val="0"/>
        <w:spacing w:line="300" w:lineRule="auto"/>
        <w:ind w:firstLine="405" w:firstLineChars="193"/>
        <w:rPr>
          <w:rFonts w:hint="eastAsia" w:hAnsi="宋体" w:cs="Arial"/>
          <w:color w:val="auto"/>
          <w:szCs w:val="21"/>
          <w:highlight w:val="none"/>
        </w:rPr>
      </w:pPr>
      <w:r>
        <w:rPr>
          <w:rFonts w:hint="eastAsia" w:ascii="宋体" w:hAnsi="宋体"/>
          <w:color w:val="auto"/>
          <w:highlight w:val="none"/>
        </w:rPr>
        <w:t>1.2交货地点：</w:t>
      </w:r>
      <w:r>
        <w:rPr>
          <w:rFonts w:hint="eastAsia" w:ascii="Times New Roman" w:hAnsi="宋体" w:eastAsia="宋体" w:cs="Arial"/>
          <w:color w:val="auto"/>
          <w:szCs w:val="21"/>
          <w:highlight w:val="none"/>
        </w:rPr>
        <w:t>江苏索普</w:t>
      </w:r>
      <w:r>
        <w:rPr>
          <w:rFonts w:hint="eastAsia" w:ascii="Times New Roman" w:hAnsi="宋体" w:eastAsia="宋体" w:cs="Arial"/>
          <w:color w:val="auto"/>
          <w:szCs w:val="21"/>
          <w:highlight w:val="none"/>
          <w:lang w:val="en-US" w:eastAsia="zh-CN"/>
        </w:rPr>
        <w:t>新材料科技有限公司</w:t>
      </w:r>
      <w:r>
        <w:rPr>
          <w:rFonts w:hint="eastAsia" w:hAnsi="宋体" w:cs="Arial"/>
          <w:color w:val="auto"/>
          <w:szCs w:val="21"/>
          <w:highlight w:val="none"/>
        </w:rPr>
        <w:t>施工现场或仓库</w:t>
      </w:r>
      <w:r>
        <w:rPr>
          <w:rFonts w:hint="eastAsia" w:hAnsi="宋体" w:cs="Arial"/>
          <w:color w:val="auto"/>
          <w:szCs w:val="21"/>
          <w:highlight w:val="none"/>
          <w:lang w:eastAsia="zh-CN"/>
        </w:rPr>
        <w:t>（</w:t>
      </w:r>
      <w:r>
        <w:rPr>
          <w:rFonts w:hint="eastAsia" w:hAnsi="宋体" w:cs="Arial"/>
          <w:color w:val="auto"/>
          <w:szCs w:val="21"/>
          <w:highlight w:val="none"/>
          <w:lang w:val="en-US" w:eastAsia="zh-CN"/>
        </w:rPr>
        <w:t>大港青龙山路8号)</w:t>
      </w:r>
      <w:r>
        <w:rPr>
          <w:rFonts w:hint="eastAsia" w:hAnsi="宋体" w:cs="Arial"/>
          <w:color w:val="auto"/>
          <w:szCs w:val="21"/>
          <w:highlight w:val="none"/>
        </w:rPr>
        <w:t>。</w:t>
      </w:r>
    </w:p>
    <w:p>
      <w:pPr>
        <w:snapToGrid w:val="0"/>
        <w:spacing w:line="300" w:lineRule="auto"/>
        <w:ind w:firstLine="405" w:firstLineChars="193"/>
        <w:rPr>
          <w:rFonts w:hint="eastAsia" w:ascii="宋体" w:hAnsi="宋体"/>
          <w:color w:val="auto"/>
          <w:szCs w:val="21"/>
          <w:highlight w:val="none"/>
        </w:rPr>
      </w:pPr>
      <w:r>
        <w:rPr>
          <w:rFonts w:hint="eastAsia" w:ascii="宋体" w:hAnsi="宋体"/>
          <w:color w:val="auto"/>
          <w:highlight w:val="none"/>
        </w:rPr>
        <w:t>1.3资金来源：</w:t>
      </w:r>
      <w:r>
        <w:rPr>
          <w:rFonts w:hint="eastAsia" w:ascii="宋体" w:hAnsi="宋体"/>
          <w:color w:val="auto"/>
          <w:szCs w:val="21"/>
          <w:highlight w:val="none"/>
        </w:rPr>
        <w:t>自筹</w:t>
      </w:r>
    </w:p>
    <w:p>
      <w:pPr>
        <w:snapToGrid w:val="0"/>
        <w:spacing w:line="300" w:lineRule="auto"/>
        <w:ind w:firstLine="405" w:firstLineChars="193"/>
        <w:rPr>
          <w:rFonts w:ascii="宋体" w:hAnsi="宋体"/>
          <w:color w:val="auto"/>
          <w:highlight w:val="none"/>
        </w:rPr>
      </w:pPr>
      <w:r>
        <w:rPr>
          <w:rFonts w:hint="eastAsia" w:ascii="宋体" w:hAnsi="宋体"/>
          <w:color w:val="auto"/>
          <w:highlight w:val="none"/>
        </w:rPr>
        <w:t>1.4交货期：合同</w:t>
      </w:r>
      <w:r>
        <w:rPr>
          <w:rFonts w:hint="eastAsia" w:ascii="宋体" w:hAnsi="宋体"/>
          <w:color w:val="auto"/>
          <w:highlight w:val="none"/>
          <w:lang w:val="en-US" w:eastAsia="zh-CN"/>
        </w:rPr>
        <w:t>设备交货期暂定2026年1月</w:t>
      </w:r>
      <w:r>
        <w:rPr>
          <w:rFonts w:hint="eastAsia" w:ascii="宋体"/>
          <w:color w:val="auto"/>
          <w:szCs w:val="21"/>
          <w:highlight w:val="none"/>
        </w:rPr>
        <w:t>。</w:t>
      </w:r>
    </w:p>
    <w:p>
      <w:pPr>
        <w:numPr>
          <w:ilvl w:val="0"/>
          <w:numId w:val="1"/>
        </w:numPr>
        <w:spacing w:line="300" w:lineRule="auto"/>
        <w:ind w:firstLine="420" w:firstLineChars="200"/>
        <w:rPr>
          <w:rFonts w:hint="eastAsia" w:ascii="宋体" w:hAnsi="宋体"/>
          <w:color w:val="auto"/>
          <w:highlight w:val="none"/>
        </w:rPr>
      </w:pPr>
      <w:r>
        <w:rPr>
          <w:rFonts w:hint="eastAsia" w:ascii="宋体" w:hAnsi="宋体"/>
          <w:color w:val="auto"/>
          <w:highlight w:val="none"/>
        </w:rPr>
        <w:t>招标内容：</w:t>
      </w:r>
    </w:p>
    <w:p>
      <w:pPr>
        <w:spacing w:line="360" w:lineRule="auto"/>
        <w:ind w:firstLine="630" w:firstLineChars="300"/>
        <w:rPr>
          <w:rFonts w:hint="eastAsia" w:ascii="宋体" w:hAnsi="宋体"/>
          <w:color w:val="auto"/>
          <w:highlight w:val="none"/>
        </w:rPr>
      </w:pPr>
      <w:r>
        <w:rPr>
          <w:rFonts w:hint="eastAsia" w:ascii="Arial" w:hAnsi="Arial" w:cs="Arial"/>
          <w:color w:val="auto"/>
          <w:szCs w:val="21"/>
          <w:highlight w:val="none"/>
        </w:rPr>
        <w:t>循环水</w:t>
      </w:r>
      <w:r>
        <w:rPr>
          <w:rFonts w:ascii="Arial" w:hAnsi="Arial" w:cs="Arial"/>
          <w:color w:val="auto"/>
          <w:szCs w:val="21"/>
          <w:highlight w:val="none"/>
        </w:rPr>
        <w:t>冷却塔</w:t>
      </w:r>
      <w:r>
        <w:rPr>
          <w:rFonts w:hint="eastAsia" w:ascii="Arial" w:hAnsi="Arial" w:cs="Arial"/>
          <w:color w:val="auto"/>
          <w:szCs w:val="21"/>
          <w:highlight w:val="none"/>
          <w:lang w:val="en-US" w:eastAsia="zh-CN"/>
        </w:rPr>
        <w:t>的供货、</w:t>
      </w:r>
      <w:r>
        <w:rPr>
          <w:rFonts w:ascii="Arial" w:hAnsi="Arial" w:cs="Arial"/>
          <w:color w:val="auto"/>
          <w:szCs w:val="21"/>
          <w:highlight w:val="none"/>
        </w:rPr>
        <w:t xml:space="preserve">安装，共 </w:t>
      </w:r>
      <w:r>
        <w:rPr>
          <w:rFonts w:hint="eastAsia" w:ascii="Arial" w:hAnsi="Arial" w:cs="Arial"/>
          <w:color w:val="auto"/>
          <w:szCs w:val="21"/>
          <w:highlight w:val="none"/>
          <w:lang w:val="en-US" w:eastAsia="zh-CN"/>
        </w:rPr>
        <w:t>4</w:t>
      </w:r>
      <w:r>
        <w:rPr>
          <w:rFonts w:ascii="Arial" w:hAnsi="Arial" w:cs="Arial"/>
          <w:color w:val="auto"/>
          <w:szCs w:val="21"/>
          <w:highlight w:val="none"/>
        </w:rPr>
        <w:t>台</w:t>
      </w:r>
      <w:r>
        <w:rPr>
          <w:rFonts w:hint="eastAsia" w:ascii="Arial" w:hAnsi="Arial" w:cs="Arial"/>
          <w:color w:val="auto"/>
          <w:szCs w:val="21"/>
          <w:highlight w:val="none"/>
          <w:lang w:val="en-US" w:eastAsia="zh-CN"/>
        </w:rPr>
        <w:t>冷却</w:t>
      </w:r>
      <w:r>
        <w:rPr>
          <w:rFonts w:ascii="Arial" w:hAnsi="Arial" w:cs="Arial"/>
          <w:color w:val="auto"/>
          <w:szCs w:val="21"/>
          <w:highlight w:val="none"/>
        </w:rPr>
        <w:t>塔</w:t>
      </w:r>
      <w:r>
        <w:rPr>
          <w:rFonts w:hint="eastAsia" w:ascii="Arial" w:hAnsi="Arial" w:cs="Arial"/>
          <w:color w:val="auto"/>
          <w:szCs w:val="21"/>
          <w:highlight w:val="none"/>
        </w:rPr>
        <w:t>，</w:t>
      </w:r>
      <w:r>
        <w:rPr>
          <w:rFonts w:hint="eastAsia" w:ascii="Arial" w:hAnsi="Arial" w:cs="Arial"/>
          <w:color w:val="auto"/>
          <w:szCs w:val="21"/>
          <w:highlight w:val="none"/>
          <w:lang w:val="en-US" w:eastAsia="zh-CN"/>
        </w:rPr>
        <w:t>每台</w:t>
      </w:r>
      <w:r>
        <w:rPr>
          <w:rFonts w:hint="eastAsia" w:ascii="Arial" w:hAnsi="Arial" w:cs="Arial"/>
          <w:color w:val="auto"/>
          <w:szCs w:val="21"/>
          <w:highlight w:val="none"/>
        </w:rPr>
        <w:t>循环量</w:t>
      </w:r>
      <w:r>
        <w:rPr>
          <w:rFonts w:hint="eastAsia" w:ascii="Arial" w:hAnsi="Arial" w:cs="Arial"/>
          <w:color w:val="auto"/>
          <w:szCs w:val="21"/>
          <w:highlight w:val="none"/>
          <w:lang w:val="en-US" w:eastAsia="zh-CN"/>
        </w:rPr>
        <w:t>为</w:t>
      </w:r>
      <w:r>
        <w:rPr>
          <w:rFonts w:hint="eastAsia" w:ascii="Arial" w:hAnsi="Arial" w:cs="Arial"/>
          <w:color w:val="auto"/>
          <w:szCs w:val="21"/>
          <w:highlight w:val="none"/>
        </w:rPr>
        <w:t>5</w:t>
      </w:r>
      <w:r>
        <w:rPr>
          <w:rFonts w:hint="eastAsia" w:ascii="Arial" w:hAnsi="Arial" w:cs="Arial"/>
          <w:color w:val="auto"/>
          <w:szCs w:val="21"/>
          <w:highlight w:val="none"/>
          <w:lang w:val="en-US" w:eastAsia="zh-CN"/>
        </w:rPr>
        <w:t>0</w:t>
      </w:r>
      <w:r>
        <w:rPr>
          <w:rFonts w:hint="eastAsia" w:ascii="Arial" w:hAnsi="Arial" w:cs="Arial"/>
          <w:color w:val="auto"/>
          <w:szCs w:val="21"/>
          <w:highlight w:val="none"/>
        </w:rPr>
        <w:t>00</w:t>
      </w:r>
      <w:r>
        <w:rPr>
          <w:rFonts w:ascii="Arial" w:hAnsi="Arial" w:cs="Arial"/>
          <w:color w:val="auto"/>
          <w:szCs w:val="21"/>
          <w:highlight w:val="none"/>
        </w:rPr>
        <w:t>m</w:t>
      </w:r>
      <w:r>
        <w:rPr>
          <w:rFonts w:ascii="Arial" w:hAnsi="Arial" w:cs="Arial"/>
          <w:color w:val="auto"/>
          <w:szCs w:val="21"/>
          <w:highlight w:val="none"/>
          <w:vertAlign w:val="superscript"/>
        </w:rPr>
        <w:t>3</w:t>
      </w:r>
      <w:r>
        <w:rPr>
          <w:rFonts w:ascii="Arial" w:hAnsi="Arial" w:cs="Arial"/>
          <w:color w:val="auto"/>
          <w:szCs w:val="21"/>
          <w:highlight w:val="none"/>
        </w:rPr>
        <w:t>/h</w:t>
      </w:r>
      <w:r>
        <w:rPr>
          <w:rFonts w:hint="eastAsia" w:ascii="Arial" w:hAnsi="Arial" w:cs="Arial"/>
          <w:color w:val="auto"/>
          <w:szCs w:val="21"/>
          <w:highlight w:val="none"/>
        </w:rPr>
        <w:t>，集中布置。</w:t>
      </w:r>
      <w:r>
        <w:rPr>
          <w:rFonts w:hint="eastAsia" w:ascii="Arial" w:hAnsi="Arial" w:cs="Arial"/>
          <w:color w:val="auto"/>
          <w:szCs w:val="21"/>
          <w:highlight w:val="none"/>
          <w:lang w:val="en-US" w:eastAsia="zh-CN"/>
        </w:rPr>
        <w:t>包含</w:t>
      </w:r>
      <w:r>
        <w:rPr>
          <w:rFonts w:hint="eastAsia" w:ascii="Arial" w:cs="Arial"/>
          <w:color w:val="auto"/>
          <w:szCs w:val="21"/>
          <w:highlight w:val="none"/>
        </w:rPr>
        <w:t>所有</w:t>
      </w:r>
      <w:r>
        <w:rPr>
          <w:rFonts w:hint="eastAsia" w:ascii="Arial" w:cs="Arial"/>
          <w:color w:val="auto"/>
          <w:szCs w:val="21"/>
          <w:highlight w:val="none"/>
          <w:lang w:val="en-US" w:eastAsia="zh-CN"/>
        </w:rPr>
        <w:t>循环水</w:t>
      </w:r>
      <w:r>
        <w:rPr>
          <w:rFonts w:ascii="Arial" w:hAnsi="Arial" w:cs="Arial"/>
          <w:color w:val="auto"/>
          <w:szCs w:val="21"/>
          <w:highlight w:val="none"/>
        </w:rPr>
        <w:t>冷却塔</w:t>
      </w:r>
      <w:r>
        <w:rPr>
          <w:rFonts w:hint="eastAsia" w:ascii="Arial" w:hAnsi="Arial" w:cs="Arial"/>
          <w:color w:val="auto"/>
          <w:szCs w:val="21"/>
          <w:highlight w:val="none"/>
        </w:rPr>
        <w:t>系统</w:t>
      </w:r>
      <w:r>
        <w:rPr>
          <w:rFonts w:ascii="Arial" w:hAnsi="宋体" w:cs="Arial"/>
          <w:color w:val="auto"/>
          <w:szCs w:val="21"/>
          <w:highlight w:val="none"/>
        </w:rPr>
        <w:t>的设计、材料采购、制造、检验、试验、包装及运输、安装</w:t>
      </w:r>
      <w:r>
        <w:rPr>
          <w:rFonts w:hint="eastAsia" w:ascii="Arial" w:hAnsi="宋体" w:cs="Arial"/>
          <w:color w:val="auto"/>
          <w:szCs w:val="21"/>
          <w:highlight w:val="none"/>
          <w:lang w:eastAsia="zh-CN"/>
        </w:rPr>
        <w:t>（</w:t>
      </w:r>
      <w:r>
        <w:rPr>
          <w:rFonts w:hint="eastAsia" w:ascii="Arial" w:hAnsi="宋体" w:cs="Arial"/>
          <w:color w:val="auto"/>
          <w:szCs w:val="21"/>
          <w:highlight w:val="none"/>
          <w:lang w:val="en-US" w:eastAsia="zh-CN"/>
        </w:rPr>
        <w:t>不含土建</w:t>
      </w:r>
      <w:r>
        <w:rPr>
          <w:rFonts w:hint="eastAsia" w:ascii="Arial" w:hAnsi="宋体" w:cs="Arial"/>
          <w:color w:val="auto"/>
          <w:szCs w:val="21"/>
          <w:highlight w:val="none"/>
          <w:lang w:eastAsia="zh-CN"/>
        </w:rPr>
        <w:t>）</w:t>
      </w:r>
      <w:r>
        <w:rPr>
          <w:rFonts w:ascii="Arial" w:hAnsi="宋体" w:cs="Arial"/>
          <w:color w:val="auto"/>
          <w:szCs w:val="21"/>
          <w:highlight w:val="none"/>
        </w:rPr>
        <w:t>、技术支持及服务等。</w:t>
      </w:r>
      <w:r>
        <w:rPr>
          <w:rFonts w:hint="eastAsia" w:ascii="宋体" w:hAnsi="宋体"/>
          <w:color w:val="auto"/>
          <w:highlight w:val="none"/>
        </w:rPr>
        <w:t>详见</w:t>
      </w:r>
      <w:r>
        <w:rPr>
          <w:rFonts w:hint="eastAsia" w:ascii="宋体" w:hAnsi="宋体"/>
          <w:color w:val="auto"/>
          <w:highlight w:val="none"/>
          <w:lang w:val="en-US" w:eastAsia="zh-CN"/>
        </w:rPr>
        <w:t>招标文件</w:t>
      </w:r>
      <w:r>
        <w:rPr>
          <w:rFonts w:hint="eastAsia" w:ascii="宋体" w:hAnsi="宋体"/>
          <w:color w:val="auto"/>
          <w:highlight w:val="none"/>
        </w:rPr>
        <w:t>第六章“技术规格及要求”</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投标方</w:t>
      </w:r>
      <w:r>
        <w:rPr>
          <w:rFonts w:hint="eastAsia" w:ascii="宋体" w:hAnsi="宋体"/>
          <w:color w:val="auto"/>
          <w:highlight w:val="none"/>
        </w:rPr>
        <w:t>资格要求</w:t>
      </w:r>
    </w:p>
    <w:p>
      <w:pPr>
        <w:snapToGrid w:val="0"/>
        <w:spacing w:line="360" w:lineRule="auto"/>
        <w:ind w:firstLine="405" w:firstLineChars="193"/>
        <w:rPr>
          <w:rFonts w:hint="eastAsia" w:ascii="宋体" w:hAnsi="宋体"/>
          <w:color w:val="auto"/>
          <w:highlight w:val="none"/>
        </w:rPr>
      </w:pPr>
      <w:bookmarkStart w:id="0" w:name="OLE_LINK1"/>
      <w:r>
        <w:rPr>
          <w:rFonts w:hint="eastAsia" w:ascii="宋体" w:hAnsi="宋体"/>
          <w:color w:val="auto"/>
          <w:highlight w:val="none"/>
        </w:rPr>
        <w:t>3.1</w:t>
      </w:r>
      <w:r>
        <w:rPr>
          <w:rFonts w:ascii="宋体" w:hAnsi="宋体"/>
          <w:color w:val="auto"/>
          <w:highlight w:val="none"/>
        </w:rPr>
        <w:t>具有独立法人资格，有能力提供招标货物和相关服务的制造商；</w:t>
      </w:r>
    </w:p>
    <w:p>
      <w:pPr>
        <w:snapToGrid w:val="0"/>
        <w:spacing w:line="360" w:lineRule="auto"/>
        <w:ind w:firstLine="405" w:firstLineChars="193"/>
        <w:rPr>
          <w:rFonts w:hint="eastAsia" w:ascii="宋体" w:hAnsi="宋体"/>
          <w:color w:val="auto"/>
          <w:highlight w:val="none"/>
        </w:rPr>
      </w:pPr>
      <w:r>
        <w:rPr>
          <w:rFonts w:hint="eastAsia" w:ascii="宋体" w:hAnsi="宋体"/>
          <w:color w:val="auto"/>
          <w:highlight w:val="none"/>
        </w:rPr>
        <w:t>3.2</w:t>
      </w:r>
      <w:r>
        <w:rPr>
          <w:rFonts w:hint="eastAsia"/>
          <w:color w:val="auto"/>
          <w:szCs w:val="21"/>
          <w:highlight w:val="none"/>
          <w:lang w:eastAsia="zh-CN"/>
        </w:rPr>
        <w:t>投标方</w:t>
      </w:r>
      <w:r>
        <w:rPr>
          <w:color w:val="auto"/>
          <w:szCs w:val="21"/>
          <w:highlight w:val="none"/>
        </w:rPr>
        <w:t>近三年（20</w:t>
      </w:r>
      <w:r>
        <w:rPr>
          <w:rFonts w:hint="eastAsia"/>
          <w:color w:val="auto"/>
          <w:szCs w:val="21"/>
          <w:highlight w:val="none"/>
        </w:rPr>
        <w:t>2</w:t>
      </w:r>
      <w:r>
        <w:rPr>
          <w:rFonts w:hint="eastAsia"/>
          <w:color w:val="auto"/>
          <w:szCs w:val="21"/>
          <w:highlight w:val="none"/>
          <w:lang w:val="en-US" w:eastAsia="zh-CN"/>
        </w:rPr>
        <w:t>1</w:t>
      </w:r>
      <w:r>
        <w:rPr>
          <w:color w:val="auto"/>
          <w:szCs w:val="21"/>
          <w:highlight w:val="none"/>
        </w:rPr>
        <w:t>年1月1日至今）财务状况良好；</w:t>
      </w:r>
      <w:r>
        <w:rPr>
          <w:rFonts w:hint="eastAsia"/>
          <w:color w:val="auto"/>
          <w:szCs w:val="21"/>
          <w:highlight w:val="none"/>
          <w:lang w:eastAsia="zh-CN"/>
        </w:rPr>
        <w:t>投标方</w:t>
      </w:r>
      <w:r>
        <w:rPr>
          <w:rFonts w:hint="eastAsia"/>
          <w:color w:val="auto"/>
          <w:szCs w:val="21"/>
          <w:highlight w:val="none"/>
        </w:rPr>
        <w:t>在“信用中国”（www.creditchina.gov.cn）网站未被列入失信被执行人、重大税收违法案件当事人名单，以评标当时网站查询结果为准；在经营活动中没有重大违法违规记录、无违约历史（</w:t>
      </w:r>
      <w:r>
        <w:rPr>
          <w:rFonts w:hint="eastAsia"/>
          <w:bCs/>
          <w:color w:val="auto"/>
          <w:szCs w:val="21"/>
          <w:highlight w:val="none"/>
          <w:lang w:val="en-US" w:eastAsia="zh-CN"/>
        </w:rPr>
        <w:t>财务报表</w:t>
      </w:r>
      <w:r>
        <w:rPr>
          <w:bCs/>
          <w:color w:val="auto"/>
          <w:szCs w:val="21"/>
          <w:highlight w:val="none"/>
        </w:rPr>
        <w:t>（复印件</w:t>
      </w:r>
      <w:r>
        <w:rPr>
          <w:color w:val="auto"/>
          <w:szCs w:val="21"/>
          <w:highlight w:val="none"/>
        </w:rPr>
        <w:t>加盖单位公章</w:t>
      </w:r>
      <w:r>
        <w:rPr>
          <w:bCs/>
          <w:color w:val="auto"/>
          <w:szCs w:val="21"/>
          <w:highlight w:val="none"/>
        </w:rPr>
        <w:t>）</w:t>
      </w:r>
      <w:r>
        <w:rPr>
          <w:rFonts w:hint="eastAsia"/>
          <w:bCs/>
          <w:color w:val="auto"/>
          <w:szCs w:val="21"/>
          <w:highlight w:val="none"/>
          <w:lang w:eastAsia="zh-CN"/>
        </w:rPr>
        <w:t>、</w:t>
      </w:r>
      <w:r>
        <w:rPr>
          <w:rFonts w:hint="eastAsia"/>
          <w:color w:val="auto"/>
          <w:szCs w:val="21"/>
          <w:highlight w:val="none"/>
          <w:lang w:eastAsia="zh-CN"/>
        </w:rPr>
        <w:t>投标方</w:t>
      </w:r>
      <w:r>
        <w:rPr>
          <w:rFonts w:hint="eastAsia"/>
          <w:color w:val="auto"/>
          <w:szCs w:val="21"/>
          <w:highlight w:val="none"/>
        </w:rPr>
        <w:t>需提供声明或证明并加盖公章）</w:t>
      </w:r>
      <w:r>
        <w:rPr>
          <w:color w:val="auto"/>
          <w:szCs w:val="21"/>
          <w:highlight w:val="none"/>
        </w:rPr>
        <w:t>；</w:t>
      </w:r>
    </w:p>
    <w:p>
      <w:pPr>
        <w:snapToGrid w:val="0"/>
        <w:spacing w:line="360" w:lineRule="auto"/>
        <w:ind w:firstLine="405" w:firstLineChars="193"/>
        <w:rPr>
          <w:rFonts w:hint="eastAsia" w:ascii="宋体" w:hAnsi="宋体"/>
          <w:color w:val="auto"/>
          <w:highlight w:val="none"/>
        </w:rPr>
      </w:pPr>
      <w:r>
        <w:rPr>
          <w:rFonts w:hint="eastAsia" w:ascii="宋体" w:hAnsi="宋体"/>
          <w:color w:val="auto"/>
          <w:highlight w:val="none"/>
        </w:rPr>
        <w:t>3.3</w:t>
      </w:r>
      <w:r>
        <w:rPr>
          <w:rFonts w:hint="eastAsia" w:ascii="宋体" w:hAnsi="宋体"/>
          <w:color w:val="auto"/>
          <w:highlight w:val="none"/>
          <w:lang w:eastAsia="zh-CN"/>
        </w:rPr>
        <w:t>投标方</w:t>
      </w:r>
      <w:r>
        <w:rPr>
          <w:rFonts w:hint="eastAsia" w:ascii="宋体" w:hAnsi="宋体"/>
          <w:color w:val="auto"/>
          <w:highlight w:val="none"/>
        </w:rPr>
        <w:t>注册资金不低于人民币1000万元</w:t>
      </w:r>
      <w:r>
        <w:rPr>
          <w:color w:val="auto"/>
          <w:szCs w:val="21"/>
          <w:highlight w:val="none"/>
        </w:rPr>
        <w:t>；</w:t>
      </w:r>
    </w:p>
    <w:p>
      <w:pPr>
        <w:snapToGrid w:val="0"/>
        <w:spacing w:line="360" w:lineRule="auto"/>
        <w:ind w:firstLine="405" w:firstLineChars="193"/>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3.4</w:t>
      </w:r>
      <w:r>
        <w:rPr>
          <w:rFonts w:hint="eastAsia" w:ascii="宋体" w:hAnsi="宋体" w:eastAsia="宋体" w:cs="Times New Roman"/>
          <w:color w:val="auto"/>
          <w:highlight w:val="none"/>
          <w:lang w:eastAsia="zh-CN"/>
        </w:rPr>
        <w:t>投标方</w:t>
      </w:r>
      <w:r>
        <w:rPr>
          <w:rFonts w:hint="eastAsia" w:ascii="宋体" w:hAnsi="宋体" w:eastAsia="宋体" w:cs="Times New Roman"/>
          <w:color w:val="auto"/>
          <w:highlight w:val="none"/>
        </w:rPr>
        <w:t>必须是生产循环水冷却塔的专业厂家，</w:t>
      </w:r>
      <w:r>
        <w:rPr>
          <w:rFonts w:hint="eastAsia" w:ascii="宋体" w:hAnsi="宋体" w:eastAsia="宋体" w:cs="Times New Roman"/>
          <w:color w:val="auto"/>
          <w:highlight w:val="none"/>
          <w:lang w:eastAsia="zh-CN"/>
        </w:rPr>
        <w:t>投标方</w:t>
      </w:r>
      <w:r>
        <w:rPr>
          <w:rFonts w:hint="eastAsia" w:ascii="宋体" w:hAnsi="宋体" w:eastAsia="宋体" w:cs="Times New Roman"/>
          <w:color w:val="auto"/>
          <w:highlight w:val="none"/>
        </w:rPr>
        <w:t>须有</w:t>
      </w:r>
      <w:r>
        <w:rPr>
          <w:rFonts w:hint="eastAsia" w:ascii="宋体" w:hAnsi="宋体" w:eastAsia="宋体" w:cs="Times New Roman"/>
          <w:color w:val="auto"/>
          <w:highlight w:val="none"/>
          <w:lang w:val="en-US" w:eastAsia="zh-CN"/>
        </w:rPr>
        <w:t>40</w:t>
      </w:r>
      <w:r>
        <w:rPr>
          <w:rFonts w:hint="eastAsia" w:ascii="宋体" w:hAnsi="宋体" w:eastAsia="宋体" w:cs="Times New Roman"/>
          <w:color w:val="auto"/>
          <w:highlight w:val="none"/>
        </w:rPr>
        <w:t>00m3/h以上相同装置或类似</w:t>
      </w:r>
      <w:r>
        <w:rPr>
          <w:rFonts w:hint="eastAsia" w:ascii="宋体" w:hAnsi="宋体" w:eastAsia="宋体" w:cs="Times New Roman"/>
          <w:color w:val="auto"/>
          <w:highlight w:val="none"/>
          <w:lang w:eastAsia="zh-CN"/>
        </w:rPr>
        <w:t>工况条件下有运行两年以上的良好使用业绩，（提供业绩表、合同复印件</w:t>
      </w:r>
      <w:r>
        <w:rPr>
          <w:rFonts w:hint="eastAsia"/>
          <w:color w:val="auto"/>
          <w:szCs w:val="21"/>
          <w:highlight w:val="none"/>
        </w:rPr>
        <w:t>并加盖公章</w:t>
      </w:r>
      <w:r>
        <w:rPr>
          <w:rFonts w:hint="eastAsia" w:ascii="宋体" w:hAnsi="宋体" w:eastAsia="宋体" w:cs="Times New Roman"/>
          <w:color w:val="auto"/>
          <w:highlight w:val="none"/>
          <w:lang w:eastAsia="zh-CN"/>
        </w:rPr>
        <w:t>）；</w:t>
      </w:r>
    </w:p>
    <w:p>
      <w:pPr>
        <w:snapToGrid w:val="0"/>
        <w:spacing w:line="360" w:lineRule="auto"/>
        <w:ind w:firstLine="405" w:firstLineChars="193"/>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3.</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eastAsia="zh-CN"/>
        </w:rPr>
        <w:t>本次招标不接受联合体投标。</w:t>
      </w:r>
    </w:p>
    <w:bookmarkEnd w:id="0"/>
    <w:p>
      <w:pPr>
        <w:snapToGrid w:val="0"/>
        <w:spacing w:line="360" w:lineRule="auto"/>
        <w:ind w:firstLine="420" w:firstLineChars="200"/>
        <w:rPr>
          <w:color w:val="auto"/>
          <w:highlight w:val="none"/>
        </w:rPr>
      </w:pPr>
      <w:r>
        <w:rPr>
          <w:color w:val="auto"/>
          <w:highlight w:val="none"/>
        </w:rPr>
        <w:t>4.招标文件的获取：</w:t>
      </w:r>
    </w:p>
    <w:p>
      <w:pPr>
        <w:snapToGrid w:val="0"/>
        <w:spacing w:line="360" w:lineRule="auto"/>
        <w:ind w:firstLine="420" w:firstLineChars="200"/>
        <w:rPr>
          <w:color w:val="auto"/>
          <w:highlight w:val="none"/>
        </w:rPr>
      </w:pPr>
      <w:r>
        <w:rPr>
          <w:rFonts w:hint="eastAsia"/>
          <w:color w:val="auto"/>
          <w:highlight w:val="none"/>
        </w:rPr>
        <w:t>时间：202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20</w:t>
      </w:r>
      <w:r>
        <w:rPr>
          <w:rFonts w:hint="eastAsia"/>
          <w:color w:val="auto"/>
          <w:highlight w:val="none"/>
        </w:rPr>
        <w:t>日至202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28</w:t>
      </w:r>
      <w:r>
        <w:rPr>
          <w:rFonts w:hint="eastAsia"/>
          <w:color w:val="auto"/>
          <w:highlight w:val="none"/>
        </w:rPr>
        <w:t>日止</w:t>
      </w:r>
      <w:r>
        <w:rPr>
          <w:color w:val="auto"/>
          <w:highlight w:val="none"/>
        </w:rPr>
        <w:t>(节假日除外)，上午9:00至11:00；下午13:30至1</w:t>
      </w:r>
      <w:r>
        <w:rPr>
          <w:rFonts w:hint="eastAsia"/>
          <w:color w:val="auto"/>
          <w:highlight w:val="none"/>
          <w:lang w:val="en-US" w:eastAsia="zh-CN"/>
        </w:rPr>
        <w:t>7</w:t>
      </w:r>
      <w:r>
        <w:rPr>
          <w:color w:val="auto"/>
          <w:highlight w:val="none"/>
        </w:rPr>
        <w:t>:</w:t>
      </w:r>
      <w:r>
        <w:rPr>
          <w:rFonts w:hint="eastAsia"/>
          <w:color w:val="auto"/>
          <w:highlight w:val="none"/>
          <w:lang w:val="en-US" w:eastAsia="zh-CN"/>
        </w:rPr>
        <w:t>0</w:t>
      </w:r>
      <w:r>
        <w:rPr>
          <w:color w:val="auto"/>
          <w:highlight w:val="none"/>
        </w:rPr>
        <w:t>0（北京时间）。</w:t>
      </w:r>
      <w:r>
        <w:rPr>
          <w:rFonts w:hint="eastAsia"/>
          <w:color w:val="auto"/>
          <w:highlight w:val="none"/>
        </w:rPr>
        <w:t>本项目采用集中售标，具体办法详见后附《线上发售招标文件及提交保证金特别告知》。</w:t>
      </w:r>
    </w:p>
    <w:p>
      <w:pPr>
        <w:snapToGrid w:val="0"/>
        <w:spacing w:line="360" w:lineRule="auto"/>
        <w:ind w:firstLine="405" w:firstLineChars="193"/>
        <w:rPr>
          <w:rFonts w:ascii="宋体" w:hAnsi="宋体"/>
          <w:color w:val="auto"/>
          <w:highlight w:val="none"/>
        </w:rPr>
      </w:pPr>
      <w:r>
        <w:rPr>
          <w:rFonts w:hint="eastAsia" w:ascii="宋体" w:hAnsi="宋体"/>
          <w:color w:val="auto"/>
          <w:highlight w:val="none"/>
        </w:rPr>
        <w:t>招标文件每套售价人民币伍佰元整（￥500.00），售后不退。</w:t>
      </w:r>
    </w:p>
    <w:p>
      <w:pPr>
        <w:autoSpaceDE w:val="0"/>
        <w:autoSpaceDN w:val="0"/>
        <w:adjustRightInd w:val="0"/>
        <w:spacing w:line="360" w:lineRule="auto"/>
        <w:ind w:firstLine="420" w:firstLineChars="200"/>
        <w:rPr>
          <w:rFonts w:ascii="宋体" w:hAnsi="宋体"/>
          <w:color w:val="auto"/>
          <w:highlight w:val="none"/>
        </w:rPr>
      </w:pPr>
      <w:r>
        <w:rPr>
          <w:rFonts w:ascii="宋体" w:hAnsi="宋体"/>
          <w:color w:val="auto"/>
          <w:highlight w:val="none"/>
        </w:rPr>
        <w:t>投标截止时间为20</w:t>
      </w:r>
      <w:r>
        <w:rPr>
          <w:rFonts w:hint="eastAsia" w:ascii="宋体" w:hAnsi="宋体"/>
          <w:color w:val="auto"/>
          <w:highlight w:val="none"/>
        </w:rPr>
        <w:t>2</w:t>
      </w:r>
      <w:r>
        <w:rPr>
          <w:rFonts w:hint="eastAsia" w:ascii="宋体" w:hAnsi="宋体"/>
          <w:color w:val="auto"/>
          <w:highlight w:val="none"/>
          <w:lang w:val="en-US" w:eastAsia="zh-CN"/>
        </w:rPr>
        <w:t>4</w:t>
      </w:r>
      <w:r>
        <w:rPr>
          <w:rFonts w:ascii="宋体" w:hAnsi="宋体"/>
          <w:color w:val="auto"/>
          <w:highlight w:val="none"/>
        </w:rPr>
        <w:t>年</w:t>
      </w:r>
      <w:r>
        <w:rPr>
          <w:rFonts w:hint="eastAsia" w:ascii="宋体" w:hAnsi="宋体"/>
          <w:color w:val="auto"/>
          <w:highlight w:val="none"/>
          <w:lang w:val="en-US" w:eastAsia="zh-CN"/>
        </w:rPr>
        <w:t>7</w:t>
      </w:r>
      <w:r>
        <w:rPr>
          <w:rFonts w:ascii="宋体" w:hAnsi="宋体"/>
          <w:color w:val="auto"/>
          <w:highlight w:val="none"/>
        </w:rPr>
        <w:t>月</w:t>
      </w:r>
      <w:r>
        <w:rPr>
          <w:rFonts w:hint="eastAsia" w:ascii="宋体" w:hAnsi="宋体"/>
          <w:color w:val="auto"/>
          <w:highlight w:val="none"/>
          <w:lang w:val="en-US" w:eastAsia="zh-CN"/>
        </w:rPr>
        <w:t>11</w:t>
      </w:r>
      <w:r>
        <w:rPr>
          <w:rFonts w:ascii="宋体" w:hAnsi="宋体"/>
          <w:color w:val="auto"/>
          <w:highlight w:val="none"/>
        </w:rPr>
        <w:t>日</w:t>
      </w:r>
      <w:r>
        <w:rPr>
          <w:rFonts w:hint="eastAsia" w:ascii="宋体" w:hAnsi="宋体"/>
          <w:color w:val="auto"/>
          <w:highlight w:val="none"/>
        </w:rPr>
        <w:t>9</w:t>
      </w:r>
      <w:r>
        <w:rPr>
          <w:rFonts w:ascii="宋体" w:hAnsi="宋体"/>
          <w:color w:val="auto"/>
          <w:highlight w:val="none"/>
        </w:rPr>
        <w:t>时</w:t>
      </w:r>
      <w:r>
        <w:rPr>
          <w:rFonts w:hint="eastAsia" w:ascii="宋体" w:hAnsi="宋体"/>
          <w:color w:val="auto"/>
          <w:highlight w:val="none"/>
        </w:rPr>
        <w:t>3</w:t>
      </w:r>
      <w:r>
        <w:rPr>
          <w:rFonts w:ascii="宋体" w:hAnsi="宋体"/>
          <w:color w:val="auto"/>
          <w:highlight w:val="none"/>
        </w:rPr>
        <w:t>0分，递交地点为</w:t>
      </w:r>
      <w:r>
        <w:rPr>
          <w:rFonts w:hint="eastAsia" w:ascii="宋体" w:hAnsi="宋体"/>
          <w:color w:val="auto"/>
          <w:highlight w:val="none"/>
          <w:u w:val="single"/>
        </w:rPr>
        <w:t>江苏省镇江市碧榆园宾馆(地址:镇江市竹林路88号)，8号楼会议室</w:t>
      </w:r>
      <w:r>
        <w:rPr>
          <w:rFonts w:hint="eastAsia" w:ascii="宋体" w:hAnsi="宋体"/>
          <w:color w:val="auto"/>
          <w:highlight w:val="none"/>
        </w:rPr>
        <w:t>公开开标。届时</w:t>
      </w:r>
      <w:r>
        <w:rPr>
          <w:rFonts w:hint="eastAsia" w:ascii="宋体" w:hAnsi="宋体"/>
          <w:color w:val="auto"/>
          <w:highlight w:val="none"/>
          <w:lang w:eastAsia="zh-CN"/>
        </w:rPr>
        <w:t>投标方</w:t>
      </w:r>
      <w:r>
        <w:rPr>
          <w:rFonts w:hint="eastAsia" w:ascii="宋体" w:hAnsi="宋体"/>
          <w:color w:val="auto"/>
          <w:highlight w:val="none"/>
        </w:rPr>
        <w:t>须派代表1～2人出席开标会。</w:t>
      </w:r>
      <w:r>
        <w:rPr>
          <w:rFonts w:ascii="宋体" w:hAnsi="宋体"/>
          <w:color w:val="auto"/>
          <w:highlight w:val="none"/>
        </w:rPr>
        <w:t>逾期送达的投标文件将被拒绝。</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开标时间及地点</w:t>
      </w:r>
    </w:p>
    <w:p>
      <w:pPr>
        <w:autoSpaceDE w:val="0"/>
        <w:autoSpaceDN w:val="0"/>
        <w:adjustRightInd w:val="0"/>
        <w:spacing w:line="300" w:lineRule="auto"/>
        <w:ind w:firstLine="420" w:firstLineChars="200"/>
        <w:rPr>
          <w:rFonts w:hint="eastAsia" w:ascii="宋体" w:hAnsi="宋体"/>
          <w:color w:val="auto"/>
          <w:highlight w:val="none"/>
          <w:u w:val="single"/>
        </w:rPr>
      </w:pPr>
      <w:r>
        <w:rPr>
          <w:rFonts w:ascii="宋体" w:hAnsi="宋体"/>
          <w:color w:val="auto"/>
          <w:highlight w:val="none"/>
        </w:rPr>
        <w:t>开标时间为20</w:t>
      </w:r>
      <w:r>
        <w:rPr>
          <w:rFonts w:hint="eastAsia" w:ascii="宋体" w:hAnsi="宋体"/>
          <w:color w:val="auto"/>
          <w:highlight w:val="none"/>
        </w:rPr>
        <w:t>2</w:t>
      </w:r>
      <w:r>
        <w:rPr>
          <w:rFonts w:hint="eastAsia" w:ascii="宋体" w:hAnsi="宋体"/>
          <w:color w:val="auto"/>
          <w:highlight w:val="none"/>
          <w:lang w:val="en-US" w:eastAsia="zh-CN"/>
        </w:rPr>
        <w:t>4</w:t>
      </w:r>
      <w:r>
        <w:rPr>
          <w:rFonts w:ascii="宋体" w:hAnsi="宋体"/>
          <w:color w:val="auto"/>
          <w:highlight w:val="none"/>
        </w:rPr>
        <w:t>年</w:t>
      </w:r>
      <w:r>
        <w:rPr>
          <w:rFonts w:hint="eastAsia" w:ascii="宋体" w:hAnsi="宋体"/>
          <w:color w:val="auto"/>
          <w:highlight w:val="none"/>
          <w:lang w:val="en-US" w:eastAsia="zh-CN"/>
        </w:rPr>
        <w:t>7</w:t>
      </w:r>
      <w:r>
        <w:rPr>
          <w:rFonts w:ascii="宋体" w:hAnsi="宋体"/>
          <w:color w:val="auto"/>
          <w:highlight w:val="none"/>
        </w:rPr>
        <w:t>月</w:t>
      </w:r>
      <w:r>
        <w:rPr>
          <w:rFonts w:hint="eastAsia" w:ascii="宋体" w:hAnsi="宋体"/>
          <w:color w:val="auto"/>
          <w:highlight w:val="none"/>
          <w:lang w:val="en-US" w:eastAsia="zh-CN"/>
        </w:rPr>
        <w:t>11</w:t>
      </w:r>
      <w:r>
        <w:rPr>
          <w:rFonts w:ascii="宋体" w:hAnsi="宋体"/>
          <w:color w:val="auto"/>
          <w:highlight w:val="none"/>
        </w:rPr>
        <w:t>日</w:t>
      </w:r>
      <w:r>
        <w:rPr>
          <w:rFonts w:hint="eastAsia" w:ascii="宋体" w:hAnsi="宋体"/>
          <w:color w:val="auto"/>
          <w:highlight w:val="none"/>
        </w:rPr>
        <w:t>9</w:t>
      </w:r>
      <w:r>
        <w:rPr>
          <w:rFonts w:ascii="宋体" w:hAnsi="宋体"/>
          <w:color w:val="auto"/>
          <w:highlight w:val="none"/>
        </w:rPr>
        <w:t>时</w:t>
      </w:r>
      <w:r>
        <w:rPr>
          <w:rFonts w:hint="eastAsia" w:ascii="宋体" w:hAnsi="宋体"/>
          <w:color w:val="auto"/>
          <w:highlight w:val="none"/>
        </w:rPr>
        <w:t>3</w:t>
      </w:r>
      <w:r>
        <w:rPr>
          <w:rFonts w:ascii="宋体" w:hAnsi="宋体"/>
          <w:color w:val="auto"/>
          <w:highlight w:val="none"/>
        </w:rPr>
        <w:t>0分，开标地点</w:t>
      </w:r>
      <w:r>
        <w:rPr>
          <w:rFonts w:hint="eastAsia" w:ascii="宋体" w:hAnsi="宋体"/>
          <w:color w:val="auto"/>
          <w:highlight w:val="none"/>
        </w:rPr>
        <w:t>：</w:t>
      </w:r>
      <w:r>
        <w:rPr>
          <w:rFonts w:hint="eastAsia" w:ascii="宋体" w:hAnsi="宋体"/>
          <w:color w:val="auto"/>
          <w:highlight w:val="none"/>
          <w:u w:val="single"/>
        </w:rPr>
        <w:t>江苏省镇江市碧榆园宾馆(地址:镇江市竹林路88号)，8号楼会议室</w:t>
      </w:r>
    </w:p>
    <w:p>
      <w:pPr>
        <w:autoSpaceDE w:val="0"/>
        <w:autoSpaceDN w:val="0"/>
        <w:adjustRightInd w:val="0"/>
        <w:spacing w:line="360" w:lineRule="auto"/>
        <w:ind w:firstLine="420" w:firstLineChars="200"/>
        <w:rPr>
          <w:rFonts w:hint="eastAsia" w:ascii="宋体" w:hAnsi="宋体"/>
          <w:color w:val="auto"/>
          <w:highlight w:val="none"/>
          <w:u w:val="none"/>
        </w:rPr>
      </w:pPr>
      <w:r>
        <w:rPr>
          <w:rFonts w:hint="eastAsia" w:ascii="宋体" w:hAnsi="宋体"/>
          <w:color w:val="auto"/>
          <w:highlight w:val="none"/>
          <w:u w:val="none"/>
          <w:lang w:eastAsia="zh-CN"/>
        </w:rPr>
        <w:t>6</w:t>
      </w:r>
      <w:r>
        <w:rPr>
          <w:rFonts w:hint="eastAsia" w:ascii="宋体" w:hAnsi="宋体"/>
          <w:color w:val="auto"/>
          <w:highlight w:val="none"/>
          <w:u w:val="none"/>
        </w:rPr>
        <w:t>．发布公告的媒介</w:t>
      </w:r>
    </w:p>
    <w:p>
      <w:pPr>
        <w:autoSpaceDE w:val="0"/>
        <w:autoSpaceDN w:val="0"/>
        <w:adjustRightInd w:val="0"/>
        <w:spacing w:line="360" w:lineRule="auto"/>
        <w:ind w:firstLine="0" w:firstLineChars="0"/>
        <w:rPr>
          <w:rFonts w:hint="eastAsia" w:ascii="宋体" w:hAnsi="宋体"/>
          <w:color w:val="auto"/>
          <w:highlight w:val="none"/>
          <w:u w:val="none"/>
        </w:rPr>
      </w:pPr>
      <w:r>
        <w:rPr>
          <w:rFonts w:hint="eastAsia" w:ascii="宋体" w:hAnsi="宋体"/>
          <w:color w:val="auto"/>
          <w:highlight w:val="none"/>
          <w:u w:val="none"/>
        </w:rPr>
        <w:t>本次招标文件发布在中国招标投标公共服务平台(http://www.cebpubservice.com)上。</w:t>
      </w:r>
    </w:p>
    <w:p>
      <w:pPr>
        <w:snapToGrid w:val="0"/>
        <w:spacing w:line="360" w:lineRule="auto"/>
        <w:ind w:firstLine="405" w:firstLineChars="193"/>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.联系方式：</w:t>
      </w:r>
    </w:p>
    <w:p>
      <w:pPr>
        <w:snapToGrid w:val="0"/>
        <w:spacing w:line="360" w:lineRule="auto"/>
        <w:ind w:firstLine="405" w:firstLineChars="193"/>
        <w:rPr>
          <w:rFonts w:hint="eastAsia" w:ascii="宋体" w:hAnsi="宋体"/>
          <w:color w:val="auto"/>
          <w:highlight w:val="none"/>
        </w:rPr>
      </w:pPr>
      <w:r>
        <w:rPr>
          <w:rFonts w:hint="eastAsia" w:ascii="宋体" w:hAnsi="宋体"/>
          <w:color w:val="auto"/>
          <w:highlight w:val="none"/>
          <w:lang w:eastAsia="zh-CN"/>
        </w:rPr>
        <w:t>招标方</w:t>
      </w:r>
      <w:r>
        <w:rPr>
          <w:rFonts w:hint="eastAsia" w:ascii="宋体" w:hAnsi="宋体"/>
          <w:color w:val="auto"/>
          <w:highlight w:val="none"/>
        </w:rPr>
        <w:t>：</w:t>
      </w:r>
      <w:r>
        <w:rPr>
          <w:rFonts w:hint="eastAsia" w:ascii="Times New Roman" w:hAnsi="宋体" w:eastAsia="宋体" w:cs="Arial"/>
          <w:color w:val="auto"/>
          <w:szCs w:val="21"/>
          <w:highlight w:val="none"/>
        </w:rPr>
        <w:t>江</w:t>
      </w:r>
      <w:r>
        <w:rPr>
          <w:rFonts w:hint="eastAsia" w:ascii="宋体" w:hAnsi="宋体" w:eastAsia="宋体" w:cs="宋体"/>
          <w:color w:val="auto"/>
          <w:szCs w:val="21"/>
          <w:highlight w:val="none"/>
        </w:rPr>
        <w:t>苏</w:t>
      </w:r>
      <w:r>
        <w:rPr>
          <w:rFonts w:hint="eastAsia" w:ascii="Times New Roman" w:hAnsi="宋体" w:eastAsia="宋体" w:cs="Arial"/>
          <w:color w:val="auto"/>
          <w:szCs w:val="21"/>
          <w:highlight w:val="none"/>
        </w:rPr>
        <w:t>索普</w:t>
      </w:r>
      <w:r>
        <w:rPr>
          <w:rFonts w:hint="eastAsia" w:ascii="Times New Roman" w:hAnsi="宋体" w:eastAsia="宋体" w:cs="Arial"/>
          <w:color w:val="auto"/>
          <w:szCs w:val="21"/>
          <w:highlight w:val="none"/>
          <w:lang w:val="en-US" w:eastAsia="zh-CN"/>
        </w:rPr>
        <w:t>新材料科技有限公司</w:t>
      </w:r>
    </w:p>
    <w:p>
      <w:pPr>
        <w:snapToGrid w:val="0"/>
        <w:spacing w:line="360" w:lineRule="auto"/>
        <w:ind w:firstLine="405" w:firstLineChars="193"/>
        <w:rPr>
          <w:rFonts w:hint="eastAsia" w:ascii="Times New Roman" w:hAnsi="宋体" w:eastAsia="宋体" w:cs="Arial"/>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江苏</w:t>
      </w:r>
      <w:r>
        <w:rPr>
          <w:rFonts w:hint="eastAsia" w:ascii="Times New Roman" w:hAnsi="宋体" w:eastAsia="宋体" w:cs="Arial"/>
          <w:color w:val="auto"/>
          <w:szCs w:val="21"/>
          <w:highlight w:val="none"/>
          <w:lang w:val="en-US" w:eastAsia="zh-CN"/>
        </w:rPr>
        <w:t>镇江京口区粮山路88号</w:t>
      </w:r>
    </w:p>
    <w:p>
      <w:pPr>
        <w:snapToGrid w:val="0"/>
        <w:spacing w:line="360" w:lineRule="auto"/>
        <w:ind w:firstLine="405" w:firstLineChars="193"/>
        <w:rPr>
          <w:rFonts w:hint="default" w:ascii="Times New Roman" w:hAnsi="宋体" w:eastAsia="宋体" w:cs="Arial"/>
          <w:color w:val="auto"/>
          <w:szCs w:val="21"/>
          <w:highlight w:val="none"/>
          <w:lang w:val="en-US" w:eastAsia="zh-CN"/>
        </w:rPr>
      </w:pPr>
      <w:r>
        <w:rPr>
          <w:rFonts w:hint="eastAsia" w:hAnsi="宋体" w:cs="Arial"/>
          <w:color w:val="auto"/>
          <w:szCs w:val="21"/>
          <w:highlight w:val="none"/>
          <w:lang w:val="en-US" w:eastAsia="zh-CN"/>
        </w:rPr>
        <w:t>电话：0511-88995185</w:t>
      </w:r>
    </w:p>
    <w:p>
      <w:pPr>
        <w:snapToGrid w:val="0"/>
        <w:spacing w:line="300" w:lineRule="auto"/>
        <w:ind w:firstLine="405" w:firstLineChars="193"/>
        <w:rPr>
          <w:rFonts w:ascii="宋体" w:hAnsi="宋体" w:cs="宋体"/>
          <w:color w:val="auto"/>
          <w:kern w:val="1"/>
          <w:szCs w:val="21"/>
          <w:highlight w:val="none"/>
        </w:rPr>
      </w:pP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招标采购代理机构：中招国际招标有限公司</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地　　址：北京市海淀区学院南路62号中关村资本大厦6层601B</w:t>
      </w:r>
    </w:p>
    <w:p>
      <w:pPr>
        <w:autoSpaceDE w:val="0"/>
        <w:autoSpaceDN w:val="0"/>
        <w:adjustRightInd w:val="0"/>
        <w:spacing w:line="300" w:lineRule="auto"/>
        <w:ind w:firstLine="420" w:firstLineChars="200"/>
        <w:rPr>
          <w:rFonts w:ascii="宋体" w:hAnsi="宋体"/>
          <w:color w:val="auto"/>
          <w:highlight w:val="none"/>
        </w:rPr>
      </w:pPr>
      <w:r>
        <w:rPr>
          <w:rFonts w:ascii="宋体" w:hAnsi="宋体"/>
          <w:color w:val="auto"/>
          <w:highlight w:val="none"/>
        </w:rPr>
        <w:t>邮政编码：100081</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电　　话：</w:t>
      </w:r>
      <w:r>
        <w:rPr>
          <w:rFonts w:ascii="宋体" w:hAnsi="宋体"/>
          <w:color w:val="auto"/>
          <w:highlight w:val="none"/>
        </w:rPr>
        <w:t>010</w:t>
      </w:r>
      <w:r>
        <w:rPr>
          <w:rFonts w:hint="eastAsia" w:ascii="宋体" w:hAnsi="宋体"/>
          <w:color w:val="auto"/>
          <w:highlight w:val="none"/>
        </w:rPr>
        <w:t>-</w:t>
      </w:r>
      <w:r>
        <w:rPr>
          <w:rFonts w:ascii="宋体" w:hAnsi="宋体"/>
          <w:color w:val="auto"/>
          <w:highlight w:val="none"/>
        </w:rPr>
        <w:t>6210</w:t>
      </w:r>
      <w:r>
        <w:rPr>
          <w:rFonts w:hint="eastAsia" w:ascii="宋体" w:hAnsi="宋体"/>
          <w:color w:val="auto"/>
          <w:highlight w:val="none"/>
        </w:rPr>
        <w:t>8297、15611211259</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传　　真：</w:t>
      </w:r>
      <w:r>
        <w:rPr>
          <w:rFonts w:ascii="宋体" w:hAnsi="宋体"/>
          <w:color w:val="auto"/>
          <w:highlight w:val="none"/>
        </w:rPr>
        <w:t>010</w:t>
      </w:r>
      <w:r>
        <w:rPr>
          <w:rFonts w:hint="eastAsia" w:ascii="宋体" w:hAnsi="宋体"/>
          <w:color w:val="auto"/>
          <w:highlight w:val="none"/>
        </w:rPr>
        <w:t>-61954196</w:t>
      </w:r>
    </w:p>
    <w:p>
      <w:pPr>
        <w:autoSpaceDE w:val="0"/>
        <w:autoSpaceDN w:val="0"/>
        <w:adjustRightInd w:val="0"/>
        <w:spacing w:line="300" w:lineRule="auto"/>
        <w:ind w:firstLine="420" w:firstLineChars="200"/>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rPr>
        <w:fldChar w:fldCharType="begin"/>
      </w:r>
      <w:r>
        <w:rPr>
          <w:rFonts w:ascii="宋体" w:hAnsi="宋体"/>
          <w:color w:val="auto"/>
          <w:highlight w:val="none"/>
        </w:rPr>
        <w:instrText xml:space="preserve"> HYPERLINK "mailto:guoliying@cntcitc.com.cn"</w:instrText>
      </w:r>
      <w:r>
        <w:rPr>
          <w:rFonts w:hint="eastAsia" w:ascii="宋体" w:hAnsi="宋体"/>
          <w:color w:val="auto"/>
          <w:highlight w:val="none"/>
        </w:rPr>
        <w:fldChar w:fldCharType="separate"/>
      </w:r>
      <w:r>
        <w:rPr>
          <w:rFonts w:hint="eastAsia" w:ascii="宋体" w:hAnsi="宋体"/>
          <w:color w:val="auto"/>
          <w:highlight w:val="none"/>
        </w:rPr>
        <w:t>guoliying</w:t>
      </w:r>
      <w:r>
        <w:rPr>
          <w:rFonts w:ascii="宋体" w:hAnsi="宋体"/>
          <w:color w:val="auto"/>
          <w:highlight w:val="none"/>
        </w:rPr>
        <w:t>@</w:t>
      </w:r>
      <w:r>
        <w:rPr>
          <w:rFonts w:hint="eastAsia" w:ascii="宋体" w:hAnsi="宋体"/>
          <w:color w:val="auto"/>
          <w:highlight w:val="none"/>
        </w:rPr>
        <w:t>cntcitc.com.cn</w:t>
      </w:r>
      <w:r>
        <w:rPr>
          <w:rFonts w:hint="eastAsia" w:ascii="宋体" w:hAnsi="宋体"/>
          <w:color w:val="auto"/>
          <w:highlight w:val="none"/>
        </w:rPr>
        <w:fldChar w:fldCharType="end"/>
      </w:r>
    </w:p>
    <w:p>
      <w:pPr>
        <w:autoSpaceDE w:val="0"/>
        <w:autoSpaceDN w:val="0"/>
        <w:adjustRightInd w:val="0"/>
        <w:spacing w:line="30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联系人：郭立颖</w:t>
      </w:r>
      <w:r>
        <w:rPr>
          <w:rFonts w:hint="eastAsia" w:ascii="宋体" w:hAnsi="宋体"/>
          <w:color w:val="auto"/>
          <w:highlight w:val="none"/>
          <w:lang w:eastAsia="zh-CN"/>
        </w:rPr>
        <w:t>、</w:t>
      </w:r>
      <w:r>
        <w:rPr>
          <w:rFonts w:hint="eastAsia" w:ascii="宋体" w:hAnsi="宋体"/>
          <w:color w:val="auto"/>
          <w:highlight w:val="none"/>
          <w:lang w:val="en-US" w:eastAsia="zh-CN"/>
        </w:rPr>
        <w:t>尹逸飞、李柯利、李瑞、刘晓玉</w:t>
      </w:r>
    </w:p>
    <w:p>
      <w:pPr>
        <w:ind w:firstLine="1446" w:firstLineChars="450"/>
        <w:rPr>
          <w:rFonts w:hint="eastAsia" w:ascii="仿宋" w:hAnsi="仿宋" w:eastAsia="仿宋"/>
          <w:b/>
          <w:color w:val="auto"/>
          <w:sz w:val="32"/>
          <w:szCs w:val="32"/>
          <w:highlight w:val="none"/>
        </w:rPr>
      </w:pPr>
    </w:p>
    <w:p>
      <w:pPr>
        <w:spacing w:line="360" w:lineRule="auto"/>
        <w:ind w:firstLine="0" w:firstLineChars="0"/>
        <w:rPr>
          <w:rFonts w:eastAsia="仿宋"/>
          <w:b/>
          <w:color w:val="auto"/>
          <w:sz w:val="32"/>
          <w:szCs w:val="32"/>
          <w:highlight w:val="none"/>
        </w:rPr>
      </w:pPr>
      <w:r>
        <w:rPr>
          <w:rFonts w:hint="eastAsia" w:eastAsia="仿宋"/>
          <w:b/>
          <w:color w:val="auto"/>
          <w:kern w:val="0"/>
          <w:sz w:val="32"/>
          <w:szCs w:val="32"/>
          <w:highlight w:val="none"/>
          <w:lang w:val="en-US" w:eastAsia="zh-CN"/>
        </w:rPr>
        <w:t>附件1：</w:t>
      </w:r>
      <w:r>
        <w:rPr>
          <w:rFonts w:eastAsia="仿宋"/>
          <w:b/>
          <w:color w:val="auto"/>
          <w:kern w:val="0"/>
          <w:sz w:val="32"/>
          <w:szCs w:val="32"/>
          <w:highlight w:val="none"/>
        </w:rPr>
        <w:t>线上发售招标文件及提交保证金特别告知</w:t>
      </w:r>
    </w:p>
    <w:p>
      <w:pPr>
        <w:spacing w:line="360" w:lineRule="auto"/>
        <w:ind w:firstLine="420" w:firstLineChars="200"/>
        <w:rPr>
          <w:rFonts w:eastAsia="仿宋"/>
          <w:color w:val="auto"/>
          <w:szCs w:val="21"/>
          <w:highlight w:val="none"/>
        </w:rPr>
      </w:pPr>
      <w:r>
        <w:rPr>
          <w:rFonts w:eastAsia="仿宋"/>
          <w:color w:val="auto"/>
          <w:kern w:val="0"/>
          <w:highlight w:val="none"/>
        </w:rPr>
        <w:t>一、本项目招标文件采用线上发售的方式</w:t>
      </w:r>
    </w:p>
    <w:p>
      <w:pPr>
        <w:spacing w:line="360" w:lineRule="auto"/>
        <w:ind w:firstLine="420" w:firstLineChars="200"/>
        <w:rPr>
          <w:rFonts w:eastAsia="仿宋"/>
          <w:color w:val="auto"/>
          <w:highlight w:val="none"/>
        </w:rPr>
      </w:pPr>
      <w:r>
        <w:rPr>
          <w:rFonts w:eastAsia="仿宋"/>
          <w:color w:val="auto"/>
          <w:kern w:val="0"/>
          <w:highlight w:val="none"/>
        </w:rPr>
        <w:t xml:space="preserve">投标人须在线注册、支付标书款并下载招标文件。凡有意购买招标文件的潜在投标人，须前往中招联合电子招标采购平台: </w:t>
      </w:r>
      <w:r>
        <w:rPr>
          <w:color w:val="auto"/>
          <w:highlight w:val="none"/>
        </w:rPr>
        <w:fldChar w:fldCharType="begin"/>
      </w:r>
      <w:r>
        <w:rPr>
          <w:color w:val="auto"/>
          <w:highlight w:val="none"/>
        </w:rPr>
        <w:instrText xml:space="preserve"> HYPERLINK "http://www.365trade.com.cn" </w:instrText>
      </w:r>
      <w:r>
        <w:rPr>
          <w:color w:val="auto"/>
          <w:highlight w:val="none"/>
        </w:rPr>
        <w:fldChar w:fldCharType="separate"/>
      </w:r>
      <w:r>
        <w:rPr>
          <w:rStyle w:val="5"/>
          <w:rFonts w:eastAsia="仿宋"/>
          <w:color w:val="auto"/>
          <w:highlight w:val="none"/>
        </w:rPr>
        <w:t>http://www.365trade.com.cn</w:t>
      </w:r>
      <w:r>
        <w:rPr>
          <w:color w:val="auto"/>
          <w:highlight w:val="none"/>
        </w:rPr>
        <w:fldChar w:fldCharType="end"/>
      </w:r>
      <w:r>
        <w:rPr>
          <w:rFonts w:eastAsia="仿宋"/>
          <w:color w:val="auto"/>
          <w:kern w:val="0"/>
          <w:highlight w:val="none"/>
        </w:rPr>
        <w:t>，免费注册，并线上支付标书款后自行下载招标文件。如有疑问可拨打中招联合电子招标采购平台统一服务热线010-86397110，010-62108037进行咨询。</w:t>
      </w:r>
    </w:p>
    <w:p>
      <w:pPr>
        <w:spacing w:line="360" w:lineRule="auto"/>
        <w:ind w:firstLine="420" w:firstLineChars="200"/>
        <w:rPr>
          <w:rFonts w:eastAsia="仿宋"/>
          <w:color w:val="auto"/>
          <w:highlight w:val="none"/>
        </w:rPr>
      </w:pPr>
      <w:r>
        <w:rPr>
          <w:rFonts w:eastAsia="仿宋"/>
          <w:color w:val="auto"/>
          <w:kern w:val="0"/>
          <w:highlight w:val="none"/>
        </w:rPr>
        <w:t>投标人操作步骤如下：</w:t>
      </w:r>
    </w:p>
    <w:p>
      <w:pPr>
        <w:spacing w:line="360" w:lineRule="auto"/>
        <w:ind w:firstLine="420" w:firstLineChars="200"/>
        <w:rPr>
          <w:rFonts w:eastAsia="仿宋"/>
          <w:color w:val="auto"/>
          <w:highlight w:val="none"/>
        </w:rPr>
      </w:pPr>
      <w:r>
        <w:rPr>
          <w:rFonts w:eastAsia="仿宋"/>
          <w:color w:val="auto"/>
          <w:kern w:val="0"/>
          <w:highlight w:val="none"/>
        </w:rPr>
        <w:t>1、登录中招联合招标采购平台:http://www.365trade.com.cn，投标人免费注册。</w:t>
      </w:r>
    </w:p>
    <w:p>
      <w:pPr>
        <w:spacing w:line="360" w:lineRule="auto"/>
        <w:ind w:firstLine="420" w:firstLineChars="200"/>
        <w:rPr>
          <w:rFonts w:eastAsia="仿宋"/>
          <w:color w:val="auto"/>
          <w:highlight w:val="none"/>
        </w:rPr>
      </w:pPr>
      <w:r>
        <w:rPr>
          <w:rFonts w:eastAsia="仿宋"/>
          <w:color w:val="auto"/>
          <w:kern w:val="0"/>
          <w:highlight w:val="none"/>
        </w:rPr>
        <w:t>2、注册完成后，进入系统，点击“查找商机”进行项目名称查询，找到项目点击“我要参与”。</w:t>
      </w:r>
    </w:p>
    <w:p>
      <w:pPr>
        <w:spacing w:line="360" w:lineRule="auto"/>
        <w:ind w:firstLine="420" w:firstLineChars="200"/>
        <w:rPr>
          <w:rFonts w:eastAsia="仿宋"/>
          <w:color w:val="auto"/>
          <w:highlight w:val="none"/>
        </w:rPr>
      </w:pPr>
      <w:r>
        <w:rPr>
          <w:rFonts w:eastAsia="仿宋"/>
          <w:color w:val="auto"/>
          <w:kern w:val="0"/>
          <w:highlight w:val="none"/>
        </w:rPr>
        <w:t>3、等待项目经理审核通过后，投标人选中需要投标的包加入购物车进行标书费用支付。</w:t>
      </w:r>
    </w:p>
    <w:p>
      <w:pPr>
        <w:spacing w:line="360" w:lineRule="auto"/>
        <w:ind w:firstLine="420" w:firstLineChars="200"/>
        <w:rPr>
          <w:rFonts w:eastAsia="仿宋"/>
          <w:color w:val="auto"/>
          <w:highlight w:val="none"/>
        </w:rPr>
      </w:pPr>
      <w:r>
        <w:rPr>
          <w:rFonts w:eastAsia="仿宋"/>
          <w:color w:val="auto"/>
          <w:kern w:val="0"/>
          <w:highlight w:val="none"/>
        </w:rPr>
        <w:t>4、支付完成后，投标人可以进行招标文件下载。</w:t>
      </w:r>
    </w:p>
    <w:p>
      <w:pPr>
        <w:spacing w:line="360" w:lineRule="auto"/>
        <w:ind w:firstLine="420" w:firstLineChars="200"/>
        <w:rPr>
          <w:rFonts w:eastAsia="仿宋"/>
          <w:color w:val="auto"/>
          <w:highlight w:val="none"/>
        </w:rPr>
      </w:pPr>
      <w:r>
        <w:rPr>
          <w:rFonts w:eastAsia="仿宋"/>
          <w:color w:val="auto"/>
          <w:kern w:val="0"/>
          <w:highlight w:val="none"/>
        </w:rPr>
        <w:t>二、本项目投标保证金采用线上自动获取保证金指定收款账户并电汇的方式</w:t>
      </w:r>
    </w:p>
    <w:p>
      <w:pPr>
        <w:spacing w:line="360" w:lineRule="auto"/>
        <w:ind w:firstLine="420" w:firstLineChars="200"/>
        <w:rPr>
          <w:rFonts w:eastAsia="仿宋"/>
          <w:color w:val="auto"/>
          <w:highlight w:val="none"/>
        </w:rPr>
      </w:pPr>
      <w:r>
        <w:rPr>
          <w:rFonts w:eastAsia="仿宋"/>
          <w:color w:val="auto"/>
          <w:kern w:val="0"/>
          <w:highlight w:val="none"/>
        </w:rPr>
        <w:t>中招国际招标有限公司委托中招联合信息股份有限公司及平安银行股份有限公司北京分行办理投标保证金收、退、转及结账、结算等相关业务。</w:t>
      </w:r>
    </w:p>
    <w:p>
      <w:pPr>
        <w:spacing w:line="360" w:lineRule="auto"/>
        <w:ind w:firstLine="420" w:firstLineChars="200"/>
        <w:rPr>
          <w:rFonts w:eastAsia="仿宋"/>
          <w:color w:val="auto"/>
          <w:highlight w:val="none"/>
        </w:rPr>
      </w:pPr>
      <w:r>
        <w:rPr>
          <w:rFonts w:eastAsia="仿宋"/>
          <w:color w:val="auto"/>
          <w:kern w:val="0"/>
          <w:highlight w:val="none"/>
        </w:rPr>
        <w:t xml:space="preserve">潜在投标人在线支付标书款并下载招标文件后，填写相关信息通过平台自动获取保证金指定收款账户信息。投标人按此信息将保证金电汇或银行转账至指定账户。该账号为虚拟账号，仅针对本投标人本项目分包有效，对于其他投标人、其他项目或分包无效。    </w:t>
      </w:r>
    </w:p>
    <w:p>
      <w:pPr>
        <w:spacing w:line="360" w:lineRule="auto"/>
        <w:rPr>
          <w:rFonts w:eastAsia="仿宋"/>
          <w:color w:val="auto"/>
          <w:highlight w:val="none"/>
        </w:rPr>
      </w:pPr>
      <w:r>
        <w:rPr>
          <w:rFonts w:eastAsia="仿宋"/>
          <w:color w:val="auto"/>
          <w:kern w:val="0"/>
          <w:highlight w:val="none"/>
        </w:rPr>
        <w:t>如有疑问可拨打中招联合电子招标采购平台统一服务热线010-86397110，010-62108037进行咨询。</w:t>
      </w:r>
    </w:p>
    <w:p>
      <w:pPr>
        <w:spacing w:line="360" w:lineRule="auto"/>
        <w:ind w:firstLine="420" w:firstLineChars="200"/>
        <w:rPr>
          <w:rFonts w:eastAsia="仿宋"/>
          <w:color w:val="auto"/>
          <w:highlight w:val="none"/>
        </w:rPr>
      </w:pPr>
      <w:r>
        <w:rPr>
          <w:rFonts w:eastAsia="仿宋"/>
          <w:color w:val="auto"/>
          <w:kern w:val="0"/>
          <w:highlight w:val="none"/>
        </w:rPr>
        <w:t>投标人操作步骤如下：</w:t>
      </w:r>
    </w:p>
    <w:p>
      <w:pPr>
        <w:spacing w:line="360" w:lineRule="auto"/>
        <w:ind w:firstLine="420" w:firstLineChars="200"/>
        <w:rPr>
          <w:rFonts w:eastAsia="仿宋"/>
          <w:color w:val="auto"/>
          <w:highlight w:val="none"/>
        </w:rPr>
      </w:pPr>
      <w:r>
        <w:rPr>
          <w:rFonts w:eastAsia="仿宋"/>
          <w:color w:val="auto"/>
          <w:kern w:val="0"/>
          <w:highlight w:val="none"/>
        </w:rPr>
        <w:t>1、投标人在线支付标书款并下载招标文件后，点击进入中招联合电子招标采购平台“缴纳保证金”功能模块。</w:t>
      </w:r>
    </w:p>
    <w:p>
      <w:pPr>
        <w:spacing w:line="360" w:lineRule="auto"/>
        <w:ind w:firstLine="420" w:firstLineChars="200"/>
        <w:rPr>
          <w:rFonts w:eastAsia="仿宋"/>
          <w:color w:val="auto"/>
          <w:highlight w:val="none"/>
        </w:rPr>
      </w:pPr>
      <w:r>
        <w:rPr>
          <w:rFonts w:eastAsia="仿宋"/>
          <w:color w:val="auto"/>
          <w:kern w:val="0"/>
          <w:highlight w:val="none"/>
        </w:rPr>
        <w:t>2、填写相关信息后，点击“下一步”，自动获取保证金收款账户信息。</w:t>
      </w:r>
    </w:p>
    <w:p>
      <w:pPr>
        <w:ind w:firstLine="420" w:firstLineChars="200"/>
        <w:rPr>
          <w:color w:val="auto"/>
          <w:highlight w:val="none"/>
        </w:rPr>
      </w:pPr>
      <w:r>
        <w:rPr>
          <w:rFonts w:eastAsia="仿宋"/>
          <w:color w:val="auto"/>
          <w:kern w:val="0"/>
          <w:highlight w:val="none"/>
        </w:rPr>
        <w:t>3、在保证金账号位置生成平安银行账户信息，投标人按此信息将保证金电汇或银行转账至该指定账户（该账号为虚拟账号，仅针对本投标人本项目分包有效，对于其他投标人、其他项目或分包无效）。</w:t>
      </w:r>
    </w:p>
    <w:p>
      <w:pPr>
        <w:rPr>
          <w:color w:val="auto"/>
          <w:highlight w:val="none"/>
        </w:rPr>
      </w:pPr>
    </w:p>
    <w:p>
      <w:pPr>
        <w:rPr>
          <w:b/>
          <w:bCs/>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4F858"/>
    <w:multiLevelType w:val="singleLevel"/>
    <w:tmpl w:val="A714F8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6D071165"/>
    <w:rsid w:val="0658714A"/>
    <w:rsid w:val="168F3F35"/>
    <w:rsid w:val="1CA03099"/>
    <w:rsid w:val="32C10FE2"/>
    <w:rsid w:val="3A7B324D"/>
    <w:rsid w:val="3AB8506C"/>
    <w:rsid w:val="414B7701"/>
    <w:rsid w:val="45C1582C"/>
    <w:rsid w:val="4AAD1273"/>
    <w:rsid w:val="4BBB2D8D"/>
    <w:rsid w:val="4F6A567F"/>
    <w:rsid w:val="60076417"/>
    <w:rsid w:val="6BF31153"/>
    <w:rsid w:val="6D071165"/>
    <w:rsid w:val="709A00CB"/>
    <w:rsid w:val="73F2083D"/>
    <w:rsid w:val="792D5111"/>
    <w:rsid w:val="7A4F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1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1771</Words>
  <Characters>2092</Characters>
  <Lines>0</Lines>
  <Paragraphs>0</Paragraphs>
  <TotalTime>4</TotalTime>
  <ScaleCrop>false</ScaleCrop>
  <LinksUpToDate>false</LinksUpToDate>
  <CharactersWithSpaces>2105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2024-06-14T06:31:00Z</dcterms:created>
  <dc:creator>Administrator</dc:creator>
  <cp:lastModifiedBy>QAZWSX</cp:lastModifiedBy>
  <dcterms:modified xsi:type="dcterms:W3CDTF">2024-06-24T02:01:11Z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F84837DE2CAC4F2EB8CA8E4880D4E0A8_13</vt:lpwstr>
  </property>
</Properties>
</file>